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p>
    <w:p w14:paraId="5B88C373">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7AA89C6C">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17C78CFF">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color w:val="auto"/>
          <w:sz w:val="30"/>
          <w:szCs w:val="30"/>
          <w:lang w:eastAsia="zh-CN"/>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8"/>
                    <a:stretch>
                      <a:fillRect/>
                    </a:stretch>
                  </pic:blipFill>
                  <pic:spPr>
                    <a:xfrm>
                      <a:off x="0" y="0"/>
                      <a:ext cx="5264785" cy="1966595"/>
                    </a:xfrm>
                    <a:prstGeom prst="rect">
                      <a:avLst/>
                    </a:prstGeom>
                    <a:noFill/>
                    <a:ln>
                      <a:noFill/>
                    </a:ln>
                  </pic:spPr>
                </pic:pic>
              </a:graphicData>
            </a:graphic>
          </wp:anchor>
        </w:drawing>
      </w:r>
    </w:p>
    <w:p w14:paraId="392309C0">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08FB4E4D">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092B2806">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32CB18C4">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639185D1">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562F1BB">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方正小标宋简体" w:cs="Times New Roman"/>
          <w:b/>
          <w:bCs/>
          <w:color w:val="auto"/>
          <w:kern w:val="0"/>
          <w:sz w:val="52"/>
          <w:szCs w:val="52"/>
          <w:lang w:val="en-US" w:eastAsia="zh-CN" w:bidi="ar"/>
        </w:rPr>
      </w:pPr>
      <w:r>
        <w:rPr>
          <w:rFonts w:hint="eastAsia" w:ascii="Times New Roman" w:hAnsi="Times New Roman" w:eastAsia="方正小标宋简体" w:cs="Times New Roman"/>
          <w:b/>
          <w:bCs/>
          <w:color w:val="auto"/>
          <w:kern w:val="0"/>
          <w:sz w:val="52"/>
          <w:szCs w:val="52"/>
          <w:lang w:val="en-US" w:eastAsia="zh-CN" w:bidi="ar"/>
        </w:rPr>
        <w:t>动漫与游戏制作</w:t>
      </w:r>
    </w:p>
    <w:p w14:paraId="025C969E">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方正小标宋简体" w:cs="Times New Roman"/>
          <w:b/>
          <w:bCs/>
          <w:color w:val="auto"/>
          <w:kern w:val="0"/>
          <w:sz w:val="52"/>
          <w:szCs w:val="52"/>
          <w:lang w:val="en-US" w:eastAsia="zh-CN" w:bidi="ar"/>
        </w:rPr>
      </w:pPr>
      <w:r>
        <w:rPr>
          <w:rFonts w:hint="eastAsia" w:ascii="Times New Roman" w:hAnsi="Times New Roman" w:eastAsia="方正小标宋简体" w:cs="Times New Roman"/>
          <w:b/>
          <w:bCs/>
          <w:color w:val="auto"/>
          <w:kern w:val="0"/>
          <w:sz w:val="52"/>
          <w:szCs w:val="52"/>
          <w:lang w:val="en-US" w:eastAsia="zh-CN" w:bidi="ar"/>
        </w:rPr>
        <w:t>专业人才培养方案</w:t>
      </w:r>
    </w:p>
    <w:p w14:paraId="6949133E">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60976A3E">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r>
        <w:rPr>
          <w:rFonts w:hint="eastAsia" w:ascii="Times New Roman" w:hAnsi="Times New Roman" w:eastAsia="方正小标宋简体" w:cs="Times New Roman"/>
          <w:b/>
          <w:bCs/>
          <w:color w:val="auto"/>
          <w:kern w:val="0"/>
          <w:sz w:val="52"/>
          <w:szCs w:val="52"/>
          <w:lang w:val="en-US" w:eastAsia="zh-CN" w:bidi="ar"/>
        </w:rPr>
        <w:t>2026级</w:t>
      </w:r>
    </w:p>
    <w:p w14:paraId="4D819C46">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1E32A3A0">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536C3EBD">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2A97C1D1">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1CE9655D">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2B532FAC">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kern w:val="0"/>
          <w:sz w:val="30"/>
          <w:szCs w:val="30"/>
          <w:lang w:val="en-US" w:eastAsia="zh-CN" w:bidi="ar"/>
        </w:rPr>
        <w:t>广西工艺美术学校</w:t>
      </w:r>
    </w:p>
    <w:p w14:paraId="06F0E335">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b/>
          <w:bCs/>
          <w:color w:val="auto"/>
          <w:kern w:val="0"/>
          <w:sz w:val="30"/>
          <w:szCs w:val="30"/>
          <w:lang w:val="en-US" w:eastAsia="zh-CN" w:bidi="ar"/>
        </w:rPr>
        <w:t>2026年7月</w:t>
      </w:r>
    </w:p>
    <w:p w14:paraId="3CE56611">
      <w:pPr>
        <w:spacing w:before="0" w:beforeLines="0" w:after="0" w:afterLines="0" w:line="240" w:lineRule="auto"/>
        <w:ind w:left="0" w:leftChars="0" w:right="0" w:rightChars="0" w:firstLine="0" w:firstLineChars="0"/>
        <w:jc w:val="center"/>
        <w:rPr>
          <w:rFonts w:ascii="Times New Roman" w:hAnsi="Times New Roman" w:eastAsia="宋体" w:cs="Times New Roman"/>
          <w:kern w:val="2"/>
          <w:sz w:val="21"/>
          <w:szCs w:val="24"/>
          <w:lang w:val="en-US" w:eastAsia="zh-CN" w:bidi="ar-SA"/>
        </w:rPr>
        <w:sectPr>
          <w:headerReference r:id="rId3" w:type="default"/>
          <w:pgSz w:w="11906" w:h="16838"/>
          <w:pgMar w:top="1440" w:right="1800" w:bottom="1440" w:left="1800" w:header="851" w:footer="992" w:gutter="0"/>
          <w:cols w:space="425" w:num="1"/>
          <w:titlePg/>
          <w:docGrid w:type="lines" w:linePitch="312" w:charSpace="0"/>
        </w:sectPr>
      </w:pPr>
    </w:p>
    <w:sdt>
      <w:sdtPr>
        <w:rPr>
          <w:rFonts w:ascii="Times New Roman" w:hAnsi="Times New Roman" w:eastAsia="宋体" w:cs="Times New Roman"/>
          <w:b/>
          <w:bCs/>
          <w:kern w:val="2"/>
          <w:sz w:val="21"/>
          <w:szCs w:val="24"/>
          <w:lang w:val="en-US" w:eastAsia="zh-CN" w:bidi="ar-SA"/>
        </w:rPr>
        <w:id w:val="147483176"/>
        <w15:color w:val="DBDBDB"/>
        <w:docPartObj>
          <w:docPartGallery w:val="Table of Contents"/>
          <w:docPartUnique/>
        </w:docPartObj>
      </w:sdtPr>
      <w:sdtEndPr>
        <w:rPr>
          <w:rFonts w:ascii="Times New Roman" w:hAnsi="Times New Roman" w:cs="Times New Roman" w:eastAsiaTheme="minorEastAsia"/>
          <w:b/>
          <w:bCs/>
          <w:kern w:val="2"/>
          <w:sz w:val="21"/>
          <w:szCs w:val="24"/>
          <w:lang w:val="en-US" w:eastAsia="zh-CN" w:bidi="ar-SA"/>
        </w:rPr>
      </w:sdtEndPr>
      <w:sdtContent>
        <w:p w14:paraId="7BAE220B">
          <w:pPr>
            <w:spacing w:before="0" w:beforeLines="0" w:after="0" w:afterLines="0" w:line="240" w:lineRule="auto"/>
            <w:ind w:left="0" w:leftChars="0" w:right="0" w:rightChars="0" w:firstLine="0" w:firstLineChars="0"/>
            <w:jc w:val="center"/>
            <w:rPr>
              <w:rFonts w:ascii="Times New Roman" w:hAnsi="Times New Roman" w:cs="Times New Roman"/>
              <w:b/>
              <w:bCs/>
              <w:sz w:val="44"/>
              <w:szCs w:val="44"/>
            </w:rPr>
          </w:pPr>
          <w:r>
            <w:rPr>
              <w:rFonts w:ascii="Times New Roman" w:hAnsi="Times New Roman" w:eastAsia="宋体" w:cs="Times New Roman"/>
              <w:b/>
              <w:bCs/>
              <w:sz w:val="44"/>
              <w:szCs w:val="44"/>
            </w:rPr>
            <w:t>目录</w:t>
          </w:r>
        </w:p>
        <w:p w14:paraId="660DB816">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TOC \o "1-3" \h \u </w:instrText>
          </w:r>
          <w:r>
            <w:rPr>
              <w:rFonts w:ascii="Times New Roman" w:hAnsi="Times New Roman" w:cs="Times New Roman"/>
              <w:lang w:val="en-US" w:eastAsia="zh-CN"/>
            </w:rPr>
            <w:fldChar w:fldCharType="separate"/>
          </w: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_Toc3785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rPr>
            <w:t>一、专业名称及代码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_Toc3785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03DD3137">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_Toc2454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rPr>
            <w:t>二、入学要求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_Toc2454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6DE14098">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_Toc26934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rPr>
            <w:t>三、修业年限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_Toc26934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47E56872">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_Toc8558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rPr>
            <w:t>四、职业面向及主要续接专业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_Toc8558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3138AA55">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_Toc24045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（一）职业面向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_Toc24045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200894CE">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_Toc31143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（二）主要接续专业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_Toc31143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5EBAB0A1">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_Toc28870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lang w:val="en-US" w:eastAsia="zh-CN"/>
            </w:rPr>
            <w:t>五、培养目标与培养规格</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_Toc28870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0D2AC20E">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_Toc12982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kern w:val="2"/>
              <w:szCs w:val="30"/>
              <w:lang w:val="en-US" w:eastAsia="zh-CN" w:bidi="ar-SA"/>
            </w:rPr>
            <w:t>（一）</w:t>
          </w:r>
          <w:r>
            <w:rPr>
              <w:rFonts w:hint="eastAsia" w:ascii="Times New Roman" w:hAnsi="Times New Roman" w:eastAsia="仿宋_GB2312" w:cs="Times New Roman"/>
              <w:bCs/>
              <w:spacing w:val="2"/>
              <w:szCs w:val="30"/>
              <w:lang w:val="en-US" w:eastAsia="zh-CN"/>
            </w:rPr>
            <w:t>培养目标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_Toc12982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lang w:val="en-US" w:eastAsia="zh-CN"/>
            </w:rPr>
            <w:fldChar w:fldCharType="end"/>
          </w:r>
        </w:p>
        <w:p w14:paraId="329D04D1">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_Toc9328 </w:instrText>
          </w:r>
          <w:r>
            <w:rPr>
              <w:rFonts w:ascii="Times New Roman" w:hAnsi="Times New Roman" w:cs="Times New Roman"/>
              <w:lang w:val="en-US" w:eastAsia="zh-CN"/>
            </w:rPr>
            <w:fldChar w:fldCharType="separate"/>
          </w:r>
          <w:r>
            <w:rPr>
              <w:rFonts w:hint="default" w:ascii="Times New Roman" w:hAnsi="Times New Roman" w:eastAsia="仿宋_GB2312" w:cs="Times New Roman"/>
              <w:bCs/>
              <w:spacing w:val="2"/>
              <w:kern w:val="2"/>
              <w:szCs w:val="30"/>
              <w:lang w:val="en-US" w:eastAsia="zh-CN" w:bidi="ar-SA"/>
            </w:rPr>
            <w:t>（二）培养规格</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_Toc9328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lang w:val="en-US" w:eastAsia="zh-CN"/>
            </w:rPr>
            <w:fldChar w:fldCharType="end"/>
          </w:r>
        </w:p>
        <w:p w14:paraId="3188D9CB">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_Toc24660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lang w:val="en-US" w:eastAsia="zh-CN"/>
            </w:rPr>
            <w:t>六、课程设置及要求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_Toc24660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lang w:val="en-US" w:eastAsia="zh-CN"/>
            </w:rPr>
            <w:fldChar w:fldCharType="end"/>
          </w:r>
        </w:p>
        <w:p w14:paraId="490EACDE">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_Toc4707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kern w:val="2"/>
              <w:szCs w:val="30"/>
              <w:lang w:val="en-US" w:eastAsia="zh-CN" w:bidi="ar-SA"/>
            </w:rPr>
            <w:t>（一）课程结构图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_Toc4707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lang w:val="en-US" w:eastAsia="zh-CN"/>
            </w:rPr>
            <w:fldChar w:fldCharType="end"/>
          </w:r>
        </w:p>
        <w:p w14:paraId="13A22CFB">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_Toc16436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kern w:val="2"/>
              <w:szCs w:val="30"/>
              <w:lang w:val="en-US" w:eastAsia="zh-CN" w:bidi="ar-SA"/>
            </w:rPr>
            <w:t>（二）公共基础课设置及要求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_Toc16436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lang w:val="en-US" w:eastAsia="zh-CN"/>
            </w:rPr>
            <w:fldChar w:fldCharType="end"/>
          </w:r>
        </w:p>
        <w:p w14:paraId="44C31358">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_Toc19257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5"/>
              <w:szCs w:val="30"/>
              <w:lang w:eastAsia="zh-CN"/>
            </w:rPr>
            <w:t>（</w:t>
          </w:r>
          <w:r>
            <w:rPr>
              <w:rFonts w:hint="eastAsia" w:ascii="Times New Roman" w:hAnsi="Times New Roman" w:eastAsia="仿宋_GB2312" w:cs="Times New Roman"/>
              <w:bCs/>
              <w:spacing w:val="5"/>
              <w:szCs w:val="30"/>
              <w:lang w:val="en-US" w:eastAsia="zh-CN"/>
            </w:rPr>
            <w:t>三</w:t>
          </w:r>
          <w:r>
            <w:rPr>
              <w:rFonts w:hint="eastAsia" w:ascii="Times New Roman" w:hAnsi="Times New Roman" w:eastAsia="仿宋_GB2312" w:cs="Times New Roman"/>
              <w:bCs/>
              <w:spacing w:val="5"/>
              <w:szCs w:val="30"/>
              <w:lang w:eastAsia="zh-CN"/>
            </w:rPr>
            <w:t>）</w:t>
          </w:r>
          <w:r>
            <w:rPr>
              <w:rFonts w:hint="eastAsia" w:ascii="Times New Roman" w:hAnsi="Times New Roman" w:eastAsia="仿宋_GB2312" w:cs="Times New Roman"/>
              <w:bCs/>
              <w:spacing w:val="5"/>
              <w:szCs w:val="30"/>
            </w:rPr>
            <w:t>专业课课程设置及要求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_Toc19257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lang w:val="en-US" w:eastAsia="zh-CN"/>
            </w:rPr>
            <w:fldChar w:fldCharType="end"/>
          </w:r>
        </w:p>
        <w:p w14:paraId="6B9E3AFF">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_Toc2930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rPr>
            <w:t>七、</w:t>
          </w:r>
          <w:r>
            <w:rPr>
              <w:rFonts w:hint="eastAsia" w:ascii="Times New Roman" w:hAnsi="Times New Roman" w:eastAsia="黑体" w:cs="Times New Roman"/>
              <w:bCs w:val="0"/>
              <w:spacing w:val="5"/>
              <w:szCs w:val="30"/>
              <w:lang w:val="en-US" w:eastAsia="zh-CN"/>
            </w:rPr>
            <w:t>教学进程总体安排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_Toc2930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lang w:val="en-US" w:eastAsia="zh-CN"/>
            </w:rPr>
            <w:fldChar w:fldCharType="end"/>
          </w:r>
        </w:p>
        <w:p w14:paraId="4E1B6E82">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_Toc2781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5"/>
              <w:szCs w:val="30"/>
              <w:lang w:val="en-US" w:eastAsia="zh-CN"/>
            </w:rPr>
            <w:t>（一）基本要求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_Toc2781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lang w:val="en-US" w:eastAsia="zh-CN"/>
            </w:rPr>
            <w:fldChar w:fldCharType="end"/>
          </w:r>
        </w:p>
        <w:p w14:paraId="78D2AD16">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_Toc24712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5"/>
              <w:szCs w:val="30"/>
              <w:lang w:val="en-US" w:eastAsia="zh-CN"/>
            </w:rPr>
            <w:t>（二）教学安排建议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_Toc24712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cs="Times New Roman"/>
              <w:lang w:val="en-US" w:eastAsia="zh-CN"/>
            </w:rPr>
            <w:fldChar w:fldCharType="end"/>
          </w:r>
        </w:p>
        <w:p w14:paraId="490C74BF">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_Toc26424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lang w:val="en-US" w:eastAsia="zh-CN"/>
            </w:rPr>
            <w:t>八</w:t>
          </w:r>
          <w:r>
            <w:rPr>
              <w:rFonts w:hint="eastAsia" w:ascii="Times New Roman" w:hAnsi="Times New Roman" w:eastAsia="黑体" w:cs="Times New Roman"/>
              <w:bCs w:val="0"/>
              <w:spacing w:val="5"/>
              <w:szCs w:val="30"/>
            </w:rPr>
            <w:t>、实施保障</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_Toc26424 \h </w:instrText>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r>
            <w:rPr>
              <w:rFonts w:ascii="Times New Roman" w:hAnsi="Times New Roman" w:cs="Times New Roman"/>
              <w:lang w:val="en-US" w:eastAsia="zh-CN"/>
            </w:rPr>
            <w:fldChar w:fldCharType="end"/>
          </w:r>
        </w:p>
        <w:p w14:paraId="752C9B0F">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_Toc29121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（一）师资队伍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_Toc29121 \h </w:instrText>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r>
            <w:rPr>
              <w:rFonts w:ascii="Times New Roman" w:hAnsi="Times New Roman" w:cs="Times New Roman"/>
              <w:lang w:val="en-US" w:eastAsia="zh-CN"/>
            </w:rPr>
            <w:fldChar w:fldCharType="end"/>
          </w:r>
        </w:p>
        <w:p w14:paraId="1D6346C1">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_Toc5445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lang w:val="en-US" w:eastAsia="zh-CN"/>
            </w:rPr>
            <w:t>（二）教学设施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_Toc5445 \h </w:instrText>
          </w:r>
          <w:r>
            <w:rPr>
              <w:rFonts w:ascii="Times New Roman" w:hAnsi="Times New Roman" w:cs="Times New Roman"/>
            </w:rPr>
            <w:fldChar w:fldCharType="separate"/>
          </w:r>
          <w:r>
            <w:rPr>
              <w:rFonts w:ascii="Times New Roman" w:hAnsi="Times New Roman" w:cs="Times New Roman"/>
            </w:rPr>
            <w:t>28</w:t>
          </w:r>
          <w:r>
            <w:rPr>
              <w:rFonts w:ascii="Times New Roman" w:hAnsi="Times New Roman" w:cs="Times New Roman"/>
            </w:rPr>
            <w:fldChar w:fldCharType="end"/>
          </w:r>
          <w:r>
            <w:rPr>
              <w:rFonts w:ascii="Times New Roman" w:hAnsi="Times New Roman" w:cs="Times New Roman"/>
              <w:lang w:val="en-US" w:eastAsia="zh-CN"/>
            </w:rPr>
            <w:fldChar w:fldCharType="end"/>
          </w:r>
        </w:p>
        <w:p w14:paraId="3510224A">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_Toc17550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（三）教学资源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_Toc17550 \h </w:instrText>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r>
            <w:rPr>
              <w:rFonts w:ascii="Times New Roman" w:hAnsi="Times New Roman" w:cs="Times New Roman"/>
              <w:lang w:val="en-US" w:eastAsia="zh-CN"/>
            </w:rPr>
            <w:fldChar w:fldCharType="end"/>
          </w:r>
        </w:p>
        <w:p w14:paraId="02F6CEAE">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_Toc32682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（四）教学方法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_Toc32682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cs="Times New Roman"/>
              <w:lang w:val="en-US" w:eastAsia="zh-CN"/>
            </w:rPr>
            <w:fldChar w:fldCharType="end"/>
          </w:r>
        </w:p>
        <w:p w14:paraId="1C615FEB">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_Toc28703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lang w:val="en-US" w:eastAsia="zh-CN"/>
            </w:rPr>
            <w:t>（五）学习评价</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_Toc28703 \h </w:instrText>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r>
            <w:rPr>
              <w:rFonts w:ascii="Times New Roman" w:hAnsi="Times New Roman" w:cs="Times New Roman"/>
              <w:lang w:val="en-US" w:eastAsia="zh-CN"/>
            </w:rPr>
            <w:fldChar w:fldCharType="end"/>
          </w:r>
        </w:p>
        <w:p w14:paraId="4E022F39">
          <w:pPr>
            <w:pStyle w:val="10"/>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_Toc850 </w:instrText>
          </w:r>
          <w:r>
            <w:rPr>
              <w:rFonts w:ascii="Times New Roman" w:hAnsi="Times New Roman" w:cs="Times New Roman"/>
              <w:lang w:val="en-US" w:eastAsia="zh-CN"/>
            </w:rPr>
            <w:fldChar w:fldCharType="separate"/>
          </w:r>
          <w:r>
            <w:rPr>
              <w:rFonts w:hint="eastAsia" w:ascii="Times New Roman" w:hAnsi="Times New Roman" w:eastAsia="仿宋_GB2312" w:cs="Times New Roman"/>
              <w:bCs/>
              <w:spacing w:val="2"/>
              <w:szCs w:val="30"/>
            </w:rPr>
            <w:t>（六）质量管理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_Toc850 \h </w:instrText>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r>
            <w:rPr>
              <w:rFonts w:ascii="Times New Roman" w:hAnsi="Times New Roman" w:cs="Times New Roman"/>
              <w:lang w:val="en-US" w:eastAsia="zh-CN"/>
            </w:rPr>
            <w:fldChar w:fldCharType="end"/>
          </w:r>
        </w:p>
        <w:p w14:paraId="435DB100">
          <w:pPr>
            <w:pStyle w:val="9"/>
            <w:tabs>
              <w:tab w:val="right" w:leader="dot" w:pos="8306"/>
            </w:tabs>
            <w:rPr>
              <w:rFonts w:ascii="Times New Roman" w:hAnsi="Times New Roman" w:cs="Times New Roman"/>
            </w:rPr>
          </w:pP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HYPERLINK \l _Toc32307 </w:instrText>
          </w:r>
          <w:r>
            <w:rPr>
              <w:rFonts w:ascii="Times New Roman" w:hAnsi="Times New Roman" w:cs="Times New Roman"/>
              <w:lang w:val="en-US" w:eastAsia="zh-CN"/>
            </w:rPr>
            <w:fldChar w:fldCharType="separate"/>
          </w:r>
          <w:r>
            <w:rPr>
              <w:rFonts w:hint="eastAsia" w:ascii="Times New Roman" w:hAnsi="Times New Roman" w:eastAsia="黑体" w:cs="Times New Roman"/>
              <w:bCs w:val="0"/>
              <w:spacing w:val="5"/>
              <w:szCs w:val="30"/>
              <w:lang w:val="en-US" w:eastAsia="zh-CN"/>
            </w:rPr>
            <w:t>九</w:t>
          </w:r>
          <w:r>
            <w:rPr>
              <w:rFonts w:hint="eastAsia" w:ascii="Times New Roman" w:hAnsi="Times New Roman" w:eastAsia="黑体" w:cs="Times New Roman"/>
              <w:bCs w:val="0"/>
              <w:spacing w:val="5"/>
              <w:szCs w:val="30"/>
            </w:rPr>
            <w:t>、毕业要求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_Toc32307 \h </w:instrText>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r>
            <w:rPr>
              <w:rFonts w:ascii="Times New Roman" w:hAnsi="Times New Roman" w:cs="Times New Roman"/>
              <w:lang w:val="en-US" w:eastAsia="zh-CN"/>
            </w:rPr>
            <w:fldChar w:fldCharType="end"/>
          </w:r>
        </w:p>
        <w:p w14:paraId="734801CF">
          <w:pPr>
            <w:rPr>
              <w:rFonts w:ascii="Times New Roman" w:hAnsi="Times New Roman" w:cs="Times New Roman" w:eastAsiaTheme="minorEastAsia"/>
              <w:kern w:val="2"/>
              <w:sz w:val="21"/>
              <w:szCs w:val="24"/>
              <w:lang w:val="en-US" w:eastAsia="zh-CN" w:bidi="ar-SA"/>
            </w:rPr>
          </w:pPr>
          <w:r>
            <w:rPr>
              <w:rFonts w:ascii="Times New Roman" w:hAnsi="Times New Roman" w:cs="Times New Roman"/>
              <w:lang w:val="en-US" w:eastAsia="zh-CN"/>
            </w:rPr>
            <w:fldChar w:fldCharType="end"/>
          </w:r>
        </w:p>
      </w:sdtContent>
    </w:sdt>
    <w:p w14:paraId="0C02BF8A">
      <w:pPr>
        <w:rPr>
          <w:rFonts w:hint="eastAsia" w:ascii="Times New Roman" w:hAnsi="Times New Roman" w:cs="Times New Roman" w:eastAsiaTheme="minorEastAsia"/>
          <w:kern w:val="2"/>
          <w:sz w:val="21"/>
          <w:szCs w:val="24"/>
          <w:lang w:val="en-US" w:eastAsia="zh-CN" w:bidi="ar-SA"/>
        </w:rPr>
      </w:pPr>
    </w:p>
    <w:p w14:paraId="6836393F">
      <w:pPr>
        <w:rPr>
          <w:rFonts w:hint="eastAsia" w:ascii="Times New Roman" w:hAnsi="Times New Roman" w:eastAsia="仿宋_GB2312" w:cs="Times New Roman"/>
          <w:b/>
          <w:bCs/>
          <w:color w:val="auto"/>
          <w:kern w:val="0"/>
          <w:sz w:val="30"/>
          <w:szCs w:val="30"/>
          <w:lang w:val="en-US" w:eastAsia="zh-CN" w:bidi="ar"/>
        </w:rPr>
      </w:pPr>
    </w:p>
    <w:p w14:paraId="30AC0819">
      <w:pPr>
        <w:rPr>
          <w:rFonts w:hint="eastAsia" w:ascii="Times New Roman" w:hAnsi="Times New Roman" w:eastAsia="仿宋_GB2312" w:cs="Times New Roman"/>
          <w:b/>
          <w:bCs/>
          <w:color w:val="auto"/>
          <w:kern w:val="0"/>
          <w:sz w:val="30"/>
          <w:szCs w:val="30"/>
          <w:lang w:val="en-US" w:eastAsia="zh-CN" w:bidi="ar"/>
        </w:rPr>
      </w:pPr>
    </w:p>
    <w:p w14:paraId="03155E6A">
      <w:pP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b/>
          <w:bCs/>
          <w:color w:val="auto"/>
          <w:kern w:val="0"/>
          <w:sz w:val="30"/>
          <w:szCs w:val="30"/>
          <w:lang w:val="en-US" w:eastAsia="zh-CN" w:bidi="ar"/>
        </w:rPr>
        <w:br w:type="page"/>
      </w:r>
    </w:p>
    <w:p w14:paraId="74AAF939">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sectPr>
          <w:footerReference r:id="rId5" w:type="first"/>
          <w:footerReference r:id="rId4" w:type="default"/>
          <w:pgSz w:w="11906" w:h="16838"/>
          <w:pgMar w:top="1440" w:right="1800" w:bottom="1440" w:left="1800" w:header="851" w:footer="992" w:gutter="0"/>
          <w:pgNumType w:fmt="decimal" w:start="1"/>
          <w:cols w:space="425" w:num="1"/>
          <w:docGrid w:type="lines" w:linePitch="312" w:charSpace="0"/>
        </w:sectPr>
      </w:pPr>
    </w:p>
    <w:p w14:paraId="656B1D10">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textAlignment w:val="auto"/>
        <w:outlineLvl w:val="0"/>
        <w:rPr>
          <w:rFonts w:hint="eastAsia" w:ascii="Times New Roman" w:hAnsi="Times New Roman" w:eastAsia="黑体" w:cs="Times New Roman"/>
          <w:b w:val="0"/>
          <w:bCs w:val="0"/>
          <w:color w:val="auto"/>
          <w:sz w:val="30"/>
          <w:szCs w:val="30"/>
        </w:rPr>
      </w:pPr>
      <w:bookmarkStart w:id="0" w:name="_Toc3785"/>
      <w:r>
        <w:rPr>
          <w:rFonts w:hint="eastAsia" w:ascii="Times New Roman" w:hAnsi="Times New Roman" w:eastAsia="黑体" w:cs="Times New Roman"/>
          <w:b w:val="0"/>
          <w:bCs w:val="0"/>
          <w:color w:val="auto"/>
          <w:spacing w:val="5"/>
          <w:sz w:val="30"/>
          <w:szCs w:val="30"/>
        </w:rPr>
        <w:t>一、专业名称及代码</w:t>
      </w:r>
      <w:bookmarkEnd w:id="0"/>
    </w:p>
    <w:p w14:paraId="5ABBC7CE">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专业名称：动漫与游戏制作</w:t>
      </w:r>
    </w:p>
    <w:p w14:paraId="195DDAD0">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专业代码：760204</w:t>
      </w:r>
    </w:p>
    <w:p w14:paraId="51F24153">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textAlignment w:val="auto"/>
        <w:outlineLvl w:val="0"/>
        <w:rPr>
          <w:rFonts w:hint="eastAsia" w:ascii="Times New Roman" w:hAnsi="Times New Roman" w:eastAsia="黑体" w:cs="Times New Roman"/>
          <w:b w:val="0"/>
          <w:bCs w:val="0"/>
          <w:color w:val="auto"/>
          <w:spacing w:val="5"/>
          <w:sz w:val="30"/>
          <w:szCs w:val="30"/>
        </w:rPr>
      </w:pPr>
      <w:bookmarkStart w:id="1" w:name="bookmark2"/>
      <w:bookmarkEnd w:id="1"/>
      <w:bookmarkStart w:id="2" w:name="_Toc2454"/>
      <w:r>
        <w:rPr>
          <w:rFonts w:hint="eastAsia" w:ascii="Times New Roman" w:hAnsi="Times New Roman" w:eastAsia="黑体" w:cs="Times New Roman"/>
          <w:b w:val="0"/>
          <w:bCs w:val="0"/>
          <w:color w:val="auto"/>
          <w:spacing w:val="5"/>
          <w:sz w:val="30"/>
          <w:szCs w:val="30"/>
        </w:rPr>
        <w:t>二、入学要求</w:t>
      </w:r>
      <w:bookmarkEnd w:id="2"/>
    </w:p>
    <w:p w14:paraId="0338E76E">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初级中等学校毕业或具备同等学历</w:t>
      </w:r>
    </w:p>
    <w:p w14:paraId="0B48E705">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textAlignment w:val="auto"/>
        <w:outlineLvl w:val="0"/>
        <w:rPr>
          <w:rFonts w:hint="eastAsia" w:ascii="Times New Roman" w:hAnsi="Times New Roman" w:eastAsia="黑体" w:cs="Times New Roman"/>
          <w:b w:val="0"/>
          <w:bCs w:val="0"/>
          <w:color w:val="auto"/>
          <w:spacing w:val="5"/>
          <w:sz w:val="30"/>
          <w:szCs w:val="30"/>
        </w:rPr>
      </w:pPr>
      <w:bookmarkStart w:id="3" w:name="bookmark4"/>
      <w:bookmarkEnd w:id="3"/>
      <w:bookmarkStart w:id="4" w:name="bookmark3"/>
      <w:bookmarkEnd w:id="4"/>
      <w:bookmarkStart w:id="5" w:name="_Toc26934"/>
      <w:r>
        <w:rPr>
          <w:rFonts w:hint="eastAsia" w:ascii="Times New Roman" w:hAnsi="Times New Roman" w:eastAsia="黑体" w:cs="Times New Roman"/>
          <w:b w:val="0"/>
          <w:bCs w:val="0"/>
          <w:color w:val="auto"/>
          <w:spacing w:val="5"/>
          <w:sz w:val="30"/>
          <w:szCs w:val="30"/>
        </w:rPr>
        <w:t>三、修业年限</w:t>
      </w:r>
      <w:bookmarkEnd w:id="5"/>
    </w:p>
    <w:p w14:paraId="614E7B68">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三年</w:t>
      </w:r>
    </w:p>
    <w:p w14:paraId="38EDAA25">
      <w:pPr>
        <w:keepNext w:val="0"/>
        <w:keepLines w:val="0"/>
        <w:pageBreakBefore w:val="0"/>
        <w:widowControl w:val="0"/>
        <w:kinsoku/>
        <w:wordWrap/>
        <w:overflowPunct/>
        <w:topLinePunct w:val="0"/>
        <w:autoSpaceDE/>
        <w:autoSpaceDN/>
        <w:bidi w:val="0"/>
        <w:adjustRightInd/>
        <w:snapToGrid/>
        <w:spacing w:line="560" w:lineRule="exact"/>
        <w:ind w:left="0" w:firstLine="620" w:firstLineChars="200"/>
        <w:textAlignment w:val="auto"/>
        <w:outlineLvl w:val="0"/>
        <w:rPr>
          <w:rFonts w:hint="eastAsia" w:ascii="Times New Roman" w:hAnsi="Times New Roman" w:eastAsia="黑体" w:cs="Times New Roman"/>
          <w:b w:val="0"/>
          <w:bCs w:val="0"/>
          <w:color w:val="auto"/>
          <w:spacing w:val="5"/>
          <w:sz w:val="30"/>
          <w:szCs w:val="30"/>
        </w:rPr>
      </w:pPr>
      <w:bookmarkStart w:id="6" w:name="bookmark31"/>
      <w:bookmarkEnd w:id="6"/>
      <w:bookmarkStart w:id="7" w:name="_Toc8558"/>
      <w:r>
        <w:rPr>
          <w:rFonts w:hint="eastAsia" w:ascii="Times New Roman" w:hAnsi="Times New Roman" w:eastAsia="黑体" w:cs="Times New Roman"/>
          <w:b w:val="0"/>
          <w:bCs w:val="0"/>
          <w:color w:val="auto"/>
          <w:spacing w:val="5"/>
          <w:sz w:val="30"/>
          <w:szCs w:val="30"/>
        </w:rPr>
        <w:t>四、职业面向及主要续接专业</w:t>
      </w:r>
      <w:bookmarkEnd w:id="7"/>
    </w:p>
    <w:p w14:paraId="78F4CD75">
      <w:pPr>
        <w:keepNext w:val="0"/>
        <w:keepLines w:val="0"/>
        <w:pageBreakBefore w:val="0"/>
        <w:wordWrap/>
        <w:overflowPunct/>
        <w:topLinePunct w:val="0"/>
        <w:bidi w:val="0"/>
        <w:spacing w:line="540" w:lineRule="exact"/>
        <w:ind w:left="0" w:firstLine="594" w:firstLineChars="200"/>
        <w:outlineLvl w:val="0"/>
        <w:rPr>
          <w:rFonts w:hint="eastAsia" w:ascii="Times New Roman" w:hAnsi="Times New Roman" w:eastAsia="仿宋_GB2312" w:cs="Times New Roman"/>
          <w:color w:val="auto"/>
          <w:sz w:val="30"/>
          <w:szCs w:val="30"/>
        </w:rPr>
      </w:pPr>
      <w:bookmarkStart w:id="8" w:name="bookmark5"/>
      <w:bookmarkEnd w:id="8"/>
      <w:bookmarkStart w:id="9" w:name="_Toc24045"/>
      <w:r>
        <w:rPr>
          <w:rFonts w:hint="eastAsia" w:ascii="Times New Roman" w:hAnsi="Times New Roman" w:eastAsia="仿宋_GB2312" w:cs="Times New Roman"/>
          <w:b/>
          <w:bCs/>
          <w:color w:val="auto"/>
          <w:spacing w:val="-2"/>
          <w:sz w:val="30"/>
          <w:szCs w:val="30"/>
        </w:rPr>
        <w:t>（一）职业面向</w:t>
      </w:r>
      <w:bookmarkEnd w:id="9"/>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71"/>
        <w:gridCol w:w="852"/>
        <w:gridCol w:w="1563"/>
        <w:gridCol w:w="1511"/>
        <w:gridCol w:w="2640"/>
        <w:gridCol w:w="2319"/>
      </w:tblGrid>
      <w:tr w14:paraId="37A2A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0" w:type="auto"/>
            <w:vAlign w:val="center"/>
          </w:tcPr>
          <w:p w14:paraId="3E565F1D">
            <w:pPr>
              <w:pStyle w:val="14"/>
              <w:keepNext w:val="0"/>
              <w:keepLines w:val="0"/>
              <w:pageBreakBefore w:val="0"/>
              <w:wordWrap/>
              <w:overflowPunct/>
              <w:topLinePunct w:val="0"/>
              <w:bidi w:val="0"/>
              <w:spacing w:line="240" w:lineRule="auto"/>
              <w:ind w:left="0" w:right="103" w:hanging="11"/>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25"/>
                <w:sz w:val="24"/>
                <w:szCs w:val="24"/>
              </w:rPr>
              <w:t>所属专业大</w:t>
            </w:r>
            <w:r>
              <w:rPr>
                <w:rFonts w:hint="eastAsia" w:ascii="Times New Roman" w:hAnsi="Times New Roman" w:eastAsia="仿宋_GB2312" w:cs="Times New Roman"/>
                <w:b/>
                <w:bCs/>
                <w:color w:val="auto"/>
                <w:spacing w:val="-4"/>
                <w:sz w:val="24"/>
                <w:szCs w:val="24"/>
              </w:rPr>
              <w:t>类（代码）A</w:t>
            </w:r>
          </w:p>
        </w:tc>
        <w:tc>
          <w:tcPr>
            <w:tcW w:w="0" w:type="auto"/>
            <w:vAlign w:val="center"/>
          </w:tcPr>
          <w:p w14:paraId="3F5CE190">
            <w:pPr>
              <w:pStyle w:val="14"/>
              <w:keepNext w:val="0"/>
              <w:keepLines w:val="0"/>
              <w:pageBreakBefore w:val="0"/>
              <w:wordWrap/>
              <w:overflowPunct/>
              <w:topLinePunct w:val="0"/>
              <w:bidi w:val="0"/>
              <w:spacing w:line="240" w:lineRule="auto"/>
              <w:ind w:left="0" w:right="104" w:firstLine="1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所属专业类</w:t>
            </w:r>
            <w:r>
              <w:rPr>
                <w:rFonts w:hint="eastAsia" w:ascii="Times New Roman" w:hAnsi="Times New Roman" w:eastAsia="仿宋_GB2312" w:cs="Times New Roman"/>
                <w:b/>
                <w:bCs/>
                <w:color w:val="auto"/>
                <w:sz w:val="24"/>
                <w:szCs w:val="24"/>
              </w:rPr>
              <w:t>（代码）B</w:t>
            </w:r>
          </w:p>
        </w:tc>
        <w:tc>
          <w:tcPr>
            <w:tcW w:w="0" w:type="auto"/>
            <w:vAlign w:val="center"/>
          </w:tcPr>
          <w:p w14:paraId="326D94F8">
            <w:pPr>
              <w:pStyle w:val="14"/>
              <w:keepNext w:val="0"/>
              <w:keepLines w:val="0"/>
              <w:pageBreakBefore w:val="0"/>
              <w:wordWrap/>
              <w:overflowPunct/>
              <w:topLinePunct w:val="0"/>
              <w:bidi w:val="0"/>
              <w:spacing w:line="240" w:lineRule="auto"/>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对应行业</w:t>
            </w:r>
            <w:r>
              <w:rPr>
                <w:rFonts w:hint="eastAsia" w:ascii="Times New Roman" w:hAnsi="Times New Roman" w:eastAsia="仿宋_GB2312" w:cs="Times New Roman"/>
                <w:b/>
                <w:bCs/>
                <w:color w:val="auto"/>
                <w:spacing w:val="-2"/>
                <w:sz w:val="24"/>
                <w:szCs w:val="24"/>
              </w:rPr>
              <w:t>（代码）</w:t>
            </w:r>
            <w:r>
              <w:rPr>
                <w:rFonts w:hint="eastAsia" w:ascii="Times New Roman" w:hAnsi="Times New Roman" w:eastAsia="仿宋_GB2312" w:cs="Times New Roman"/>
                <w:b/>
                <w:bCs/>
                <w:color w:val="auto"/>
                <w:spacing w:val="-3"/>
                <w:sz w:val="24"/>
                <w:szCs w:val="24"/>
              </w:rPr>
              <w:t>C</w:t>
            </w:r>
          </w:p>
        </w:tc>
        <w:tc>
          <w:tcPr>
            <w:tcW w:w="0" w:type="auto"/>
            <w:vAlign w:val="center"/>
          </w:tcPr>
          <w:p w14:paraId="3C2164BE">
            <w:pPr>
              <w:pStyle w:val="14"/>
              <w:keepNext w:val="0"/>
              <w:keepLines w:val="0"/>
              <w:pageBreakBefore w:val="0"/>
              <w:wordWrap/>
              <w:overflowPunct/>
              <w:topLinePunct w:val="0"/>
              <w:bidi w:val="0"/>
              <w:spacing w:line="240" w:lineRule="auto"/>
              <w:ind w:left="0" w:right="144" w:firstLine="19"/>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主要职业类别</w:t>
            </w:r>
            <w:r>
              <w:rPr>
                <w:rFonts w:hint="eastAsia" w:ascii="Times New Roman" w:hAnsi="Times New Roman" w:eastAsia="仿宋_GB2312" w:cs="Times New Roman"/>
                <w:b/>
                <w:bCs/>
                <w:color w:val="auto"/>
                <w:sz w:val="24"/>
                <w:szCs w:val="24"/>
              </w:rPr>
              <w:t>（代码）D</w:t>
            </w:r>
          </w:p>
        </w:tc>
        <w:tc>
          <w:tcPr>
            <w:tcW w:w="0" w:type="auto"/>
            <w:vAlign w:val="center"/>
          </w:tcPr>
          <w:p w14:paraId="319DFC1E">
            <w:pPr>
              <w:pStyle w:val="14"/>
              <w:keepNext w:val="0"/>
              <w:keepLines w:val="0"/>
              <w:pageBreakBefore w:val="0"/>
              <w:wordWrap/>
              <w:overflowPunct/>
              <w:topLinePunct w:val="0"/>
              <w:bidi w:val="0"/>
              <w:spacing w:line="240" w:lineRule="auto"/>
              <w:ind w:left="0" w:right="98" w:firstLine="11"/>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11"/>
                <w:sz w:val="24"/>
                <w:szCs w:val="24"/>
              </w:rPr>
              <w:t>主要岗位</w:t>
            </w:r>
            <w:r>
              <w:rPr>
                <w:rFonts w:hint="eastAsia" w:ascii="Times New Roman" w:hAnsi="Times New Roman" w:eastAsia="仿宋_GB2312" w:cs="Times New Roman"/>
                <w:color w:val="auto"/>
                <w:spacing w:val="-61"/>
                <w:sz w:val="24"/>
                <w:szCs w:val="24"/>
              </w:rPr>
              <w:t xml:space="preserve"> </w:t>
            </w:r>
            <w:r>
              <w:rPr>
                <w:rFonts w:hint="eastAsia" w:ascii="Times New Roman" w:hAnsi="Times New Roman" w:eastAsia="仿宋_GB2312" w:cs="Times New Roman"/>
                <w:b/>
                <w:bCs/>
                <w:color w:val="auto"/>
                <w:spacing w:val="11"/>
                <w:sz w:val="24"/>
                <w:szCs w:val="24"/>
              </w:rPr>
              <w:t>类</w:t>
            </w:r>
            <w:r>
              <w:rPr>
                <w:rFonts w:hint="eastAsia" w:ascii="Times New Roman" w:hAnsi="Times New Roman" w:eastAsia="仿宋_GB2312" w:cs="Times New Roman"/>
                <w:b/>
                <w:bCs/>
                <w:color w:val="auto"/>
                <w:spacing w:val="-20"/>
                <w:sz w:val="24"/>
                <w:szCs w:val="24"/>
              </w:rPr>
              <w:t>别（或技术领</w:t>
            </w:r>
            <w:r>
              <w:rPr>
                <w:rFonts w:hint="eastAsia" w:ascii="Times New Roman" w:hAnsi="Times New Roman" w:eastAsia="仿宋_GB2312" w:cs="Times New Roman"/>
                <w:b/>
                <w:bCs/>
                <w:color w:val="auto"/>
                <w:spacing w:val="-2"/>
                <w:sz w:val="24"/>
                <w:szCs w:val="24"/>
              </w:rPr>
              <w:t>域）E</w:t>
            </w:r>
          </w:p>
        </w:tc>
        <w:tc>
          <w:tcPr>
            <w:tcW w:w="0" w:type="auto"/>
            <w:vAlign w:val="center"/>
          </w:tcPr>
          <w:p w14:paraId="2446458A">
            <w:pPr>
              <w:pStyle w:val="14"/>
              <w:keepNext w:val="0"/>
              <w:keepLines w:val="0"/>
              <w:pageBreakBefore w:val="0"/>
              <w:wordWrap/>
              <w:overflowPunct/>
              <w:topLinePunct w:val="0"/>
              <w:bidi w:val="0"/>
              <w:spacing w:line="240" w:lineRule="auto"/>
              <w:ind w:left="0" w:right="103" w:firstLine="1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26"/>
                <w:sz w:val="24"/>
                <w:szCs w:val="24"/>
              </w:rPr>
              <w:t>职业资格证书</w:t>
            </w:r>
            <w:r>
              <w:rPr>
                <w:rFonts w:hint="eastAsia" w:ascii="Times New Roman" w:hAnsi="Times New Roman" w:eastAsia="仿宋_GB2312" w:cs="Times New Roman"/>
                <w:b/>
                <w:bCs/>
                <w:color w:val="auto"/>
                <w:spacing w:val="27"/>
                <w:sz w:val="24"/>
                <w:szCs w:val="24"/>
              </w:rPr>
              <w:t>或技能等级证</w:t>
            </w:r>
            <w:r>
              <w:rPr>
                <w:rFonts w:hint="eastAsia" w:ascii="Times New Roman" w:hAnsi="Times New Roman" w:eastAsia="仿宋_GB2312" w:cs="Times New Roman"/>
                <w:b/>
                <w:bCs/>
                <w:color w:val="auto"/>
                <w:spacing w:val="-8"/>
                <w:sz w:val="24"/>
                <w:szCs w:val="24"/>
              </w:rPr>
              <w:t>书</w:t>
            </w:r>
            <w:r>
              <w:rPr>
                <w:rFonts w:hint="eastAsia" w:ascii="Times New Roman" w:hAnsi="Times New Roman" w:eastAsia="仿宋_GB2312" w:cs="Times New Roman"/>
                <w:color w:val="auto"/>
                <w:spacing w:val="-48"/>
                <w:sz w:val="24"/>
                <w:szCs w:val="24"/>
              </w:rPr>
              <w:t xml:space="preserve"> </w:t>
            </w:r>
            <w:r>
              <w:rPr>
                <w:rFonts w:hint="eastAsia" w:ascii="Times New Roman" w:hAnsi="Times New Roman" w:eastAsia="仿宋_GB2312" w:cs="Times New Roman"/>
                <w:b/>
                <w:bCs/>
                <w:color w:val="auto"/>
                <w:spacing w:val="-8"/>
                <w:sz w:val="24"/>
                <w:szCs w:val="24"/>
              </w:rPr>
              <w:t>F</w:t>
            </w:r>
          </w:p>
        </w:tc>
      </w:tr>
      <w:tr w14:paraId="577E7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0" w:type="auto"/>
            <w:vAlign w:val="center"/>
          </w:tcPr>
          <w:p w14:paraId="0DC592DC">
            <w:pPr>
              <w:pStyle w:val="14"/>
              <w:keepNext w:val="0"/>
              <w:keepLines w:val="0"/>
              <w:pageBreakBefore w:val="0"/>
              <w:wordWrap/>
              <w:overflowPunct/>
              <w:topLinePunct w:val="0"/>
              <w:bidi w:val="0"/>
              <w:spacing w:line="240" w:lineRule="auto"/>
              <w:ind w:left="0" w:right="102" w:firstLine="12"/>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76 新闻传播大类</w:t>
            </w:r>
          </w:p>
        </w:tc>
        <w:tc>
          <w:tcPr>
            <w:tcW w:w="0" w:type="auto"/>
            <w:vAlign w:val="center"/>
          </w:tcPr>
          <w:p w14:paraId="4866E56D">
            <w:pPr>
              <w:pStyle w:val="14"/>
              <w:keepNext w:val="0"/>
              <w:keepLines w:val="0"/>
              <w:pageBreakBefore w:val="0"/>
              <w:wordWrap/>
              <w:overflowPunct/>
              <w:topLinePunct w:val="0"/>
              <w:bidi w:val="0"/>
              <w:spacing w:line="240" w:lineRule="auto"/>
              <w:ind w:left="0" w:right="99" w:firstLine="37"/>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7602 广播影视类</w:t>
            </w:r>
          </w:p>
        </w:tc>
        <w:tc>
          <w:tcPr>
            <w:tcW w:w="0" w:type="auto"/>
            <w:vAlign w:val="center"/>
          </w:tcPr>
          <w:p w14:paraId="0DCBC433">
            <w:pPr>
              <w:pStyle w:val="14"/>
              <w:keepNext w:val="0"/>
              <w:keepLines w:val="0"/>
              <w:pageBreakBefore w:val="0"/>
              <w:wordWrap/>
              <w:overflowPunct/>
              <w:topLinePunct w:val="0"/>
              <w:bidi w:val="0"/>
              <w:spacing w:line="240" w:lineRule="auto"/>
              <w:ind w:left="0" w:right="101"/>
              <w:jc w:val="both"/>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65 软件和信息技术服务业、87 广播影视制作业、74 广告业、89 文化艺术业</w:t>
            </w:r>
          </w:p>
        </w:tc>
        <w:tc>
          <w:tcPr>
            <w:tcW w:w="0" w:type="auto"/>
            <w:vAlign w:val="center"/>
          </w:tcPr>
          <w:p w14:paraId="5E417578">
            <w:pPr>
              <w:pStyle w:val="14"/>
              <w:keepNext w:val="0"/>
              <w:keepLines w:val="0"/>
              <w:pageBreakBefore w:val="0"/>
              <w:wordWrap/>
              <w:overflowPunct/>
              <w:topLinePunct w:val="0"/>
              <w:bidi w:val="0"/>
              <w:spacing w:line="240" w:lineRule="auto"/>
              <w:ind w:left="0" w:right="98"/>
              <w:jc w:val="both"/>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4-13-02 影视动画制作人员、2-09-06 数字媒体艺术人员</w:t>
            </w:r>
          </w:p>
        </w:tc>
        <w:tc>
          <w:tcPr>
            <w:tcW w:w="0" w:type="auto"/>
            <w:vAlign w:val="center"/>
          </w:tcPr>
          <w:p w14:paraId="084935BE">
            <w:pPr>
              <w:pStyle w:val="14"/>
              <w:keepNext w:val="0"/>
              <w:keepLines w:val="0"/>
              <w:pageBreakBefore w:val="0"/>
              <w:wordWrap/>
              <w:overflowPunct/>
              <w:topLinePunct w:val="0"/>
              <w:bidi w:val="0"/>
              <w:spacing w:line="240" w:lineRule="auto"/>
              <w:ind w:left="0" w:right="98"/>
              <w:jc w:val="both"/>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游戏原画设计师、游戏UI设计师、二维动画师、三维建模师、贴图绘制师、影视后期剪辑师、短视频编导、插画师、数字文创美工、AIGC 创意设计师</w:t>
            </w:r>
          </w:p>
        </w:tc>
        <w:tc>
          <w:tcPr>
            <w:tcW w:w="0" w:type="auto"/>
            <w:vAlign w:val="center"/>
          </w:tcPr>
          <w:p w14:paraId="4CCAF62A">
            <w:pPr>
              <w:pStyle w:val="14"/>
              <w:keepNext w:val="0"/>
              <w:keepLines w:val="0"/>
              <w:pageBreakBefore w:val="0"/>
              <w:wordWrap/>
              <w:overflowPunct/>
              <w:topLinePunct w:val="0"/>
              <w:bidi w:val="0"/>
              <w:spacing w:line="240" w:lineRule="auto"/>
              <w:ind w:left="0" w:right="98"/>
              <w:jc w:val="both"/>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图形图像处理专项职业能力证书、Adobe Photoshop 认证、动画制作员（四级）、短视频</w:t>
            </w:r>
            <w:r>
              <w:rPr>
                <w:rFonts w:hint="eastAsia" w:ascii="Times New Roman" w:hAnsi="Times New Roman" w:eastAsia="仿宋_GB2312" w:cs="Times New Roman"/>
                <w:color w:val="auto"/>
                <w:sz w:val="24"/>
                <w:szCs w:val="24"/>
                <w:lang w:val="en-US" w:eastAsia="zh-CN"/>
              </w:rPr>
              <w:t>剪辑师</w:t>
            </w:r>
            <w:r>
              <w:rPr>
                <w:rFonts w:hint="default" w:ascii="Times New Roman" w:hAnsi="Times New Roman" w:eastAsia="仿宋_GB2312" w:cs="Times New Roman"/>
                <w:color w:val="auto"/>
                <w:sz w:val="24"/>
                <w:szCs w:val="24"/>
                <w:lang w:val="en-US" w:eastAsia="zh-CN"/>
              </w:rPr>
              <w:t>证书</w:t>
            </w:r>
          </w:p>
        </w:tc>
      </w:tr>
    </w:tbl>
    <w:p w14:paraId="124B8DB7">
      <w:pPr>
        <w:keepNext w:val="0"/>
        <w:keepLines w:val="0"/>
        <w:pageBreakBefore w:val="0"/>
        <w:kinsoku/>
        <w:wordWrap/>
        <w:overflowPunct/>
        <w:topLinePunct w:val="0"/>
        <w:autoSpaceDE/>
        <w:autoSpaceDN/>
        <w:bidi w:val="0"/>
        <w:adjustRightInd/>
        <w:spacing w:line="560" w:lineRule="atLeast"/>
        <w:ind w:left="0" w:firstLine="610" w:firstLineChars="200"/>
        <w:outlineLvl w:val="0"/>
        <w:rPr>
          <w:rFonts w:hint="eastAsia" w:ascii="Times New Roman" w:hAnsi="Times New Roman" w:eastAsia="仿宋_GB2312" w:cs="Times New Roman"/>
          <w:b/>
          <w:bCs/>
          <w:color w:val="auto"/>
          <w:sz w:val="30"/>
          <w:szCs w:val="30"/>
          <w:lang w:val="en-US" w:eastAsia="zh-CN"/>
        </w:rPr>
      </w:pPr>
      <w:bookmarkStart w:id="10" w:name="_Toc31143"/>
      <w:r>
        <w:rPr>
          <w:rFonts w:hint="eastAsia" w:ascii="Times New Roman" w:hAnsi="Times New Roman" w:eastAsia="仿宋_GB2312" w:cs="Times New Roman"/>
          <w:b/>
          <w:bCs/>
          <w:color w:val="auto"/>
          <w:spacing w:val="2"/>
          <w:sz w:val="30"/>
          <w:szCs w:val="30"/>
        </w:rPr>
        <w:t>（二）主要接续专业</w:t>
      </w:r>
      <w:bookmarkEnd w:id="10"/>
    </w:p>
    <w:p w14:paraId="7B111FBC">
      <w:pPr>
        <w:keepNext w:val="0"/>
        <w:keepLines w:val="0"/>
        <w:pageBreakBefore w:val="0"/>
        <w:kinsoku/>
        <w:wordWrap/>
        <w:overflowPunct/>
        <w:topLinePunct w:val="0"/>
        <w:autoSpaceDE/>
        <w:autoSpaceDN/>
        <w:bidi w:val="0"/>
        <w:adjustRightInd/>
        <w:spacing w:line="560" w:lineRule="atLeast"/>
        <w:ind w:left="0" w:firstLine="602"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b/>
          <w:bCs/>
          <w:color w:val="auto"/>
          <w:sz w:val="30"/>
          <w:szCs w:val="30"/>
          <w:lang w:val="en-US" w:eastAsia="zh-CN"/>
        </w:rPr>
        <w:t>接续</w:t>
      </w:r>
      <w:r>
        <w:rPr>
          <w:rFonts w:hint="eastAsia" w:ascii="Times New Roman" w:hAnsi="Times New Roman" w:eastAsia="仿宋_GB2312" w:cs="Times New Roman"/>
          <w:b/>
          <w:bCs/>
          <w:color w:val="auto"/>
          <w:sz w:val="30"/>
          <w:szCs w:val="30"/>
        </w:rPr>
        <w:t>高职</w:t>
      </w:r>
      <w:r>
        <w:rPr>
          <w:rFonts w:hint="eastAsia" w:ascii="Times New Roman" w:hAnsi="Times New Roman" w:eastAsia="仿宋_GB2312" w:cs="Times New Roman"/>
          <w:b/>
          <w:bCs/>
          <w:color w:val="auto"/>
          <w:sz w:val="30"/>
          <w:szCs w:val="30"/>
          <w:lang w:val="en-US" w:eastAsia="zh-CN"/>
        </w:rPr>
        <w:t>专科</w:t>
      </w:r>
      <w:r>
        <w:rPr>
          <w:rFonts w:hint="eastAsia" w:ascii="Times New Roman" w:hAnsi="Times New Roman" w:eastAsia="仿宋_GB2312" w:cs="Times New Roman"/>
          <w:b/>
          <w:bCs/>
          <w:color w:val="auto"/>
          <w:sz w:val="30"/>
          <w:szCs w:val="30"/>
          <w:lang w:eastAsia="zh-CN"/>
        </w:rPr>
        <w:t>：</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动漫设计、动漫制作技术、影视动画、数字动画、数字媒体技术、游戏设计</w:t>
      </w:r>
    </w:p>
    <w:p w14:paraId="5340AD90">
      <w:pPr>
        <w:keepNext w:val="0"/>
        <w:keepLines w:val="0"/>
        <w:pageBreakBefore w:val="0"/>
        <w:widowControl/>
        <w:suppressLineNumbers w:val="0"/>
        <w:kinsoku/>
        <w:wordWrap/>
        <w:overflowPunct/>
        <w:topLinePunct w:val="0"/>
        <w:autoSpaceDE/>
        <w:autoSpaceDN/>
        <w:bidi w:val="0"/>
        <w:adjustRightInd/>
        <w:snapToGrid w:val="0"/>
        <w:spacing w:line="560" w:lineRule="atLeast"/>
        <w:ind w:firstLine="602" w:firstLineChars="200"/>
        <w:jc w:val="both"/>
        <w:textAlignment w:val="top"/>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b/>
          <w:bCs/>
          <w:color w:val="auto"/>
          <w:sz w:val="30"/>
          <w:szCs w:val="30"/>
          <w:lang w:val="en-US" w:eastAsia="zh-CN"/>
        </w:rPr>
        <w:t>接续普通本科：</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动画、数字媒体艺术、漫画、新媒体艺术、视觉传达设计</w:t>
      </w:r>
    </w:p>
    <w:p w14:paraId="75203BD5">
      <w:pPr>
        <w:keepNext w:val="0"/>
        <w:keepLines w:val="0"/>
        <w:pageBreakBefore w:val="0"/>
        <w:kinsoku/>
        <w:wordWrap/>
        <w:overflowPunct/>
        <w:topLinePunct w:val="0"/>
        <w:autoSpaceDE/>
        <w:autoSpaceDN/>
        <w:bidi w:val="0"/>
        <w:adjustRightInd/>
        <w:spacing w:line="560" w:lineRule="atLeast"/>
        <w:ind w:left="0" w:firstLine="620" w:firstLineChars="200"/>
        <w:outlineLvl w:val="0"/>
        <w:rPr>
          <w:rFonts w:hint="eastAsia" w:ascii="Times New Roman" w:hAnsi="Times New Roman" w:eastAsia="黑体" w:cs="Times New Roman"/>
          <w:b w:val="0"/>
          <w:bCs w:val="0"/>
          <w:color w:val="auto"/>
          <w:spacing w:val="5"/>
          <w:sz w:val="30"/>
          <w:szCs w:val="30"/>
          <w:lang w:val="en-US" w:eastAsia="zh-CN"/>
        </w:rPr>
      </w:pPr>
      <w:bookmarkStart w:id="11" w:name="_Toc28870"/>
      <w:r>
        <w:rPr>
          <w:rFonts w:hint="eastAsia" w:ascii="Times New Roman" w:hAnsi="Times New Roman" w:eastAsia="黑体" w:cs="Times New Roman"/>
          <w:b w:val="0"/>
          <w:bCs w:val="0"/>
          <w:color w:val="auto"/>
          <w:spacing w:val="5"/>
          <w:sz w:val="30"/>
          <w:szCs w:val="30"/>
          <w:lang w:val="en-US" w:eastAsia="zh-CN"/>
        </w:rPr>
        <w:t>五、培养目标与培养规格</w:t>
      </w:r>
      <w:bookmarkEnd w:id="11"/>
    </w:p>
    <w:p w14:paraId="40048E85">
      <w:pPr>
        <w:keepNext w:val="0"/>
        <w:keepLines w:val="0"/>
        <w:pageBreakBefore w:val="0"/>
        <w:numPr>
          <w:ilvl w:val="0"/>
          <w:numId w:val="0"/>
        </w:numPr>
        <w:kinsoku/>
        <w:wordWrap/>
        <w:overflowPunct/>
        <w:topLinePunct w:val="0"/>
        <w:autoSpaceDE/>
        <w:autoSpaceDN/>
        <w:bidi w:val="0"/>
        <w:adjustRightInd/>
        <w:spacing w:line="560" w:lineRule="atLeast"/>
        <w:ind w:left="0" w:leftChars="0" w:firstLine="610" w:firstLineChars="200"/>
        <w:outlineLvl w:val="0"/>
        <w:rPr>
          <w:rFonts w:hint="eastAsia" w:ascii="Times New Roman" w:hAnsi="Times New Roman" w:eastAsia="仿宋_GB2312" w:cs="Times New Roman"/>
          <w:b/>
          <w:bCs/>
          <w:color w:val="auto"/>
          <w:spacing w:val="2"/>
          <w:sz w:val="30"/>
          <w:szCs w:val="30"/>
          <w:lang w:val="en-US" w:eastAsia="zh-CN"/>
        </w:rPr>
      </w:pPr>
      <w:bookmarkStart w:id="12" w:name="_Toc12982"/>
      <w:r>
        <w:rPr>
          <w:rFonts w:hint="eastAsia" w:ascii="Times New Roman" w:hAnsi="Times New Roman" w:eastAsia="仿宋_GB2312" w:cs="Times New Roman"/>
          <w:b/>
          <w:bCs/>
          <w:color w:val="auto"/>
          <w:spacing w:val="2"/>
          <w:kern w:val="2"/>
          <w:sz w:val="30"/>
          <w:szCs w:val="30"/>
          <w:lang w:val="en-US" w:eastAsia="zh-CN" w:bidi="ar-SA"/>
        </w:rPr>
        <w:t>（一）</w:t>
      </w:r>
      <w:r>
        <w:rPr>
          <w:rFonts w:hint="eastAsia" w:ascii="Times New Roman" w:hAnsi="Times New Roman" w:eastAsia="仿宋_GB2312" w:cs="Times New Roman"/>
          <w:b/>
          <w:bCs/>
          <w:color w:val="auto"/>
          <w:spacing w:val="2"/>
          <w:sz w:val="30"/>
          <w:szCs w:val="30"/>
          <w:lang w:val="en-US" w:eastAsia="zh-CN"/>
        </w:rPr>
        <w:t>培养目标</w:t>
      </w:r>
      <w:bookmarkEnd w:id="12"/>
    </w:p>
    <w:p w14:paraId="770399AE">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本专业修订依托广西本地动漫游戏、数字文创行业岗位调研成果，落实立德树人根本任务，深度融合我校“美 +”校园文化 “以美育人、以文化人、成就匠心”办学理念，培养德智体美劳全面发展，践行社会主义核心价值观，传承中华优秀传统文化，具备良好职业道德、工匠精神、数字素养与人文审美素养；掌握动漫原画、二维动画、三维建模、影视后期、AIGC 数字创意、短视频制作、插画设计等核心知识与实操技能；能适配广西本地游戏公司、动画工作室、短视频传媒、文创设计等企业岗位，从事游戏美术、动画制作、影视剪辑、插画设计、新媒体内容创作等工作；同时具备可持续学习能力，可顺利升学深造的中等技术技能人才。</w:t>
      </w:r>
    </w:p>
    <w:p w14:paraId="02668755">
      <w:pPr>
        <w:keepNext w:val="0"/>
        <w:keepLines w:val="0"/>
        <w:pageBreakBefore w:val="0"/>
        <w:numPr>
          <w:ilvl w:val="0"/>
          <w:numId w:val="0"/>
        </w:numPr>
        <w:kinsoku/>
        <w:wordWrap/>
        <w:overflowPunct/>
        <w:topLinePunct w:val="0"/>
        <w:autoSpaceDE/>
        <w:autoSpaceDN/>
        <w:bidi w:val="0"/>
        <w:adjustRightInd/>
        <w:spacing w:line="560" w:lineRule="atLeast"/>
        <w:ind w:left="0" w:leftChars="0" w:firstLine="610" w:firstLineChars="200"/>
        <w:outlineLvl w:val="0"/>
        <w:rPr>
          <w:rFonts w:hint="default" w:ascii="Times New Roman" w:hAnsi="Times New Roman" w:eastAsia="仿宋_GB2312" w:cs="Times New Roman"/>
          <w:b/>
          <w:bCs/>
          <w:color w:val="auto"/>
          <w:spacing w:val="2"/>
          <w:kern w:val="2"/>
          <w:sz w:val="30"/>
          <w:szCs w:val="30"/>
          <w:lang w:val="en-US" w:eastAsia="zh-CN" w:bidi="ar-SA"/>
        </w:rPr>
      </w:pPr>
      <w:bookmarkStart w:id="13" w:name="_Toc9328"/>
      <w:r>
        <w:rPr>
          <w:rFonts w:hint="default" w:ascii="Times New Roman" w:hAnsi="Times New Roman" w:eastAsia="仿宋_GB2312" w:cs="Times New Roman"/>
          <w:b/>
          <w:bCs/>
          <w:color w:val="auto"/>
          <w:spacing w:val="2"/>
          <w:kern w:val="2"/>
          <w:sz w:val="30"/>
          <w:szCs w:val="30"/>
          <w:lang w:val="en-US" w:eastAsia="zh-CN" w:bidi="ar-SA"/>
        </w:rPr>
        <w:t>（二）培养规格</w:t>
      </w:r>
      <w:bookmarkEnd w:id="13"/>
    </w:p>
    <w:p w14:paraId="4FBAB44F">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1、</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职业素养</w:t>
      </w:r>
    </w:p>
    <w:p w14:paraId="0699088D">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（1）政治素养：拥护党的领导，厚植家国情怀，树立文化自信，自觉弘扬中华优秀传统文化、红色文化，认同广西本土</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民族文化及</w:t>
      </w: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非遗</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文化</w:t>
      </w: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，具备文化传承意识</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，贴合我校 “美 +” 校园文化传承之美育人要求，依托数字艺术载体讲好广西民族文化故事</w:t>
      </w: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w:t>
      </w:r>
    </w:p>
    <w:p w14:paraId="7A04FEAB">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（2）职业道德：恪守</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动漫游戏</w:t>
      </w: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行业法律法规、版权规范，爱岗敬业、诚实守信，具备客户服务意识、质量意识、保密意识，杜绝抄袭侵权行为。</w:t>
      </w:r>
    </w:p>
    <w:p w14:paraId="65FF3C01">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（3）工匠精神：具备精益求精、严谨细致的创作习惯，能耐心打磨原画、模型、动画作品，吃苦耐劳，适应项目制加班、团队协作工作模式。践行我校校风 “尚美求精、知行合一” 核心要求。</w:t>
      </w:r>
    </w:p>
    <w:p w14:paraId="4BE106B3">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（4）劳动与创新素养：树立正确劳动观，崇尚劳动、尊重技能；紧跟 AIGC、数字文创新技术，具备独立创意、自主创新、持续自学新技术的能力。</w:t>
      </w:r>
    </w:p>
    <w:p w14:paraId="7C0D51B1">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（5）身心与协作素养：拥有健康心理、强健体魄，具备良好沟通表达、跨岗位团队协作能力，能完成项目分工、方案对接、作品汇报；具备安全操作电脑设备、数字素材规范管理意识。</w:t>
      </w:r>
    </w:p>
    <w:p w14:paraId="0E8382F4">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t>2.</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专业知识与技能</w:t>
      </w:r>
    </w:p>
    <w:p w14:paraId="2DCE8E7D">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（1）行业通用能力</w:t>
      </w:r>
    </w:p>
    <w:p w14:paraId="69BD5F5D">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①掌握美术造型基础、色彩原理、设计构成、人体动态、透视等通用美术理论，具备原画、插画手绘与数位板数字绘画能力。</w:t>
      </w:r>
    </w:p>
    <w:p w14:paraId="14374D7B">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②熟练使用 Photoshop、AE、Premiere、Blender、Animate 等行业主流数字设计软件，掌握电脑图形工作站、数位板、摄影摄像设备规范操作。</w:t>
      </w:r>
    </w:p>
    <w:p w14:paraId="56B78F82">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③熟悉动漫、游戏、短视频全流程制作规范，掌握素材整理、分层工程文件、作品输出、版权归档通用工作标准。</w:t>
      </w:r>
    </w:p>
    <w:p w14:paraId="22A83D4F">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④掌握基础文案策划、分镜头脚本撰写、作品方案汇报、客户需求沟通通用职场能力。职业特定能力</w:t>
      </w:r>
    </w:p>
    <w:p w14:paraId="69080944">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14" w:name="heading_15"/>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（2）职业特定能力</w:t>
      </w:r>
      <w:bookmarkEnd w:id="14"/>
    </w:p>
    <w:p w14:paraId="08205FB8">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①游戏美术方向：独立完成游戏角色、场景原画、道具三视图、游戏 UI 界面设计、PBR 贴图绘制、低、中模三维建模、简单角色骨骼绑定与动画调节。</w:t>
      </w:r>
    </w:p>
    <w:p w14:paraId="52AA11ED">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②动画影视方向：制作逐帧二维动画、关键帧动画；完成短视频拍摄、剪辑、特效合成、字幕包装、短片成片输出。</w:t>
      </w:r>
    </w:p>
    <w:p w14:paraId="5D184CD6">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③数字创意方向：运用 AIGC 工具完成原画素材生成、场景辅助创作、插画优化、短视频 AI 脚本生成，掌握 AI 绘图提示词设计、素材二次精修。</w:t>
      </w:r>
    </w:p>
    <w:p w14:paraId="46F50155">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④文创插画方向：商业插画、国潮漫画、文创周边图案设计，适配广西文旅、非遗衍生产品视觉设计。</w:t>
      </w:r>
    </w:p>
    <w:p w14:paraId="3A98BEDF">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（3）跨行业职业能力</w:t>
      </w:r>
    </w:p>
    <w:p w14:paraId="57E7455C">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15" w:name="_Toc15106"/>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①新媒体运营：短视频账号视觉包装、封面设计、图文海报制作，适配本地文旅、电商新媒体岗位。</w:t>
      </w:r>
      <w:bookmarkEnd w:id="15"/>
    </w:p>
    <w:p w14:paraId="1285D2CD">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16" w:name="_Toc23656"/>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②广告平面设计：商业海报、宣传画册、活动物料视觉设计，可对接广告传媒行业基础美工岗位。</w:t>
      </w:r>
      <w:bookmarkEnd w:id="16"/>
    </w:p>
    <w:p w14:paraId="250E5699">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17" w:name="_Toc1751"/>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③自主创业：独立承接小型动画短片、游戏外包原画、短视频代剪、插画商稿等小微文创项目，具备基础创业规划能力。</w:t>
      </w:r>
      <w:bookmarkEnd w:id="17"/>
    </w:p>
    <w:p w14:paraId="34E02FF6">
      <w:pPr>
        <w:keepNext w:val="0"/>
        <w:keepLines w:val="0"/>
        <w:pageBreakBefore w:val="0"/>
        <w:kinsoku/>
        <w:wordWrap/>
        <w:overflowPunct/>
        <w:topLinePunct w:val="0"/>
        <w:autoSpaceDE/>
        <w:autoSpaceDN/>
        <w:bidi w:val="0"/>
        <w:adjustRightInd/>
        <w:spacing w:line="560" w:lineRule="atLeast"/>
        <w:ind w:left="0" w:firstLine="620" w:firstLineChars="200"/>
        <w:outlineLvl w:val="0"/>
        <w:rPr>
          <w:rFonts w:hint="eastAsia" w:ascii="Times New Roman" w:hAnsi="Times New Roman" w:eastAsia="黑体" w:cs="Times New Roman"/>
          <w:b w:val="0"/>
          <w:bCs w:val="0"/>
          <w:color w:val="auto"/>
          <w:spacing w:val="5"/>
          <w:sz w:val="30"/>
          <w:szCs w:val="30"/>
          <w:lang w:val="en-US" w:eastAsia="zh-CN"/>
        </w:rPr>
      </w:pPr>
      <w:bookmarkStart w:id="18" w:name="_Toc24660"/>
      <w:r>
        <w:rPr>
          <w:rFonts w:hint="eastAsia" w:ascii="Times New Roman" w:hAnsi="Times New Roman" w:eastAsia="黑体" w:cs="Times New Roman"/>
          <w:b w:val="0"/>
          <w:bCs w:val="0"/>
          <w:color w:val="auto"/>
          <w:spacing w:val="5"/>
          <w:sz w:val="30"/>
          <w:szCs w:val="30"/>
          <w:lang w:val="en-US" w:eastAsia="zh-CN"/>
        </w:rPr>
        <w:t>六、课程设置及要求</w:t>
      </w:r>
      <w:bookmarkEnd w:id="18"/>
    </w:p>
    <w:p w14:paraId="0DC8F0A0">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主要包括公共基础课程和专业课程。</w:t>
      </w:r>
    </w:p>
    <w:p w14:paraId="1EDEED40">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按照国家有关规定开齐开足公共基础课程。</w:t>
      </w:r>
    </w:p>
    <w:p w14:paraId="2A6E722A">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应将思想政治、语文、历史、数学、外语（英语等）、信息技术、体育与健康、艺术、劳动教育等列为公共基础必修课程。将党史国史、中华优秀传统文化、国家安全教育、职业发展与就业指导、创新创业教育等列为必修课程或限定选修课程。</w:t>
      </w:r>
    </w:p>
    <w:p w14:paraId="635175AA">
      <w:pPr>
        <w:keepNext w:val="0"/>
        <w:keepLines w:val="0"/>
        <w:pageBreakBefore w:val="0"/>
        <w:kinsoku/>
        <w:wordWrap/>
        <w:overflowPunct/>
        <w:topLinePunct w:val="0"/>
        <w:autoSpaceDE/>
        <w:autoSpaceDN/>
        <w:bidi w:val="0"/>
        <w:adjustRightInd/>
        <w:spacing w:line="560" w:lineRule="atLeas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技能课包括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3AEE3089">
      <w:pPr>
        <w:keepNext w:val="0"/>
        <w:keepLines w:val="0"/>
        <w:pageBreakBefore w:val="0"/>
        <w:numPr>
          <w:ilvl w:val="0"/>
          <w:numId w:val="0"/>
        </w:numPr>
        <w:kinsoku/>
        <w:wordWrap/>
        <w:overflowPunct/>
        <w:topLinePunct w:val="0"/>
        <w:autoSpaceDE/>
        <w:autoSpaceDN/>
        <w:bidi w:val="0"/>
        <w:adjustRightInd/>
        <w:spacing w:line="560" w:lineRule="atLeast"/>
        <w:ind w:left="0" w:leftChars="0" w:firstLine="610" w:firstLineChars="200"/>
        <w:outlineLvl w:val="0"/>
        <w:rPr>
          <w:rFonts w:hint="eastAsia" w:ascii="Times New Roman" w:hAnsi="Times New Roman" w:eastAsia="仿宋_GB2312" w:cs="Times New Roman"/>
          <w:b/>
          <w:bCs/>
          <w:color w:val="auto"/>
          <w:spacing w:val="2"/>
          <w:kern w:val="2"/>
          <w:sz w:val="30"/>
          <w:szCs w:val="30"/>
          <w:lang w:val="en-US" w:eastAsia="zh-CN" w:bidi="ar-SA"/>
        </w:rPr>
      </w:pPr>
      <w:bookmarkStart w:id="19" w:name="_Toc4707"/>
      <w:r>
        <w:rPr>
          <w:rFonts w:hint="eastAsia" w:ascii="Times New Roman" w:hAnsi="Times New Roman" w:eastAsia="仿宋_GB2312" w:cs="Times New Roman"/>
          <w:b/>
          <w:bCs/>
          <w:color w:val="auto"/>
          <w:spacing w:val="2"/>
          <w:kern w:val="2"/>
          <w:sz w:val="30"/>
          <w:szCs w:val="30"/>
          <w:lang w:val="en-US" w:eastAsia="zh-CN" w:bidi="ar-SA"/>
        </w:rPr>
        <w:t>（一）课程结构图</w:t>
      </w:r>
      <w:bookmarkEnd w:id="19"/>
    </w:p>
    <w:p w14:paraId="00451165">
      <w:pPr>
        <w:keepNext w:val="0"/>
        <w:keepLines w:val="0"/>
        <w:pageBreakBefore w:val="0"/>
        <w:wordWrap/>
        <w:overflowPunct/>
        <w:topLinePunct w:val="0"/>
        <w:bidi w:val="0"/>
        <w:spacing w:line="240" w:lineRule="auto"/>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6254115" cy="6239510"/>
            <wp:effectExtent l="0" t="0" r="13335" b="8890"/>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6254115" cy="6239510"/>
                    </a:xfrm>
                    <a:prstGeom prst="rect">
                      <a:avLst/>
                    </a:prstGeom>
                  </pic:spPr>
                </pic:pic>
              </a:graphicData>
            </a:graphic>
          </wp:inline>
        </w:drawing>
      </w:r>
    </w:p>
    <w:p w14:paraId="2809BCCC">
      <w:pPr>
        <w:keepNext w:val="0"/>
        <w:keepLines w:val="0"/>
        <w:pageBreakBefore w:val="0"/>
        <w:wordWrap/>
        <w:overflowPunct/>
        <w:topLinePunct w:val="0"/>
        <w:bidi w:val="0"/>
        <w:spacing w:line="240" w:lineRule="auto"/>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6188075" cy="4718050"/>
            <wp:effectExtent l="0" t="0" r="3175" b="6350"/>
            <wp:docPr id="9" name="图片 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2"/>
                    <pic:cNvPicPr>
                      <a:picLocks noChangeAspect="1"/>
                    </pic:cNvPicPr>
                  </pic:nvPicPr>
                  <pic:blipFill>
                    <a:blip r:embed="rId10"/>
                    <a:stretch>
                      <a:fillRect/>
                    </a:stretch>
                  </pic:blipFill>
                  <pic:spPr>
                    <a:xfrm>
                      <a:off x="0" y="0"/>
                      <a:ext cx="6188075" cy="4718050"/>
                    </a:xfrm>
                    <a:prstGeom prst="rect">
                      <a:avLst/>
                    </a:prstGeom>
                  </pic:spPr>
                </pic:pic>
              </a:graphicData>
            </a:graphic>
          </wp:inline>
        </w:drawing>
      </w:r>
    </w:p>
    <w:p w14:paraId="66EB288A">
      <w:pPr>
        <w:keepNext w:val="0"/>
        <w:keepLines w:val="0"/>
        <w:pageBreakBefore w:val="0"/>
        <w:numPr>
          <w:ilvl w:val="0"/>
          <w:numId w:val="0"/>
        </w:numPr>
        <w:kinsoku/>
        <w:wordWrap/>
        <w:overflowPunct/>
        <w:topLinePunct w:val="0"/>
        <w:autoSpaceDE/>
        <w:autoSpaceDN/>
        <w:bidi w:val="0"/>
        <w:adjustRightInd/>
        <w:spacing w:line="560" w:lineRule="atLeast"/>
        <w:ind w:left="0" w:leftChars="0" w:firstLine="610" w:firstLineChars="200"/>
        <w:outlineLvl w:val="0"/>
        <w:rPr>
          <w:rFonts w:hint="eastAsia" w:ascii="Times New Roman" w:hAnsi="Times New Roman" w:eastAsia="仿宋_GB2312" w:cs="Times New Roman"/>
          <w:b/>
          <w:bCs/>
          <w:color w:val="auto"/>
          <w:spacing w:val="2"/>
          <w:kern w:val="2"/>
          <w:sz w:val="30"/>
          <w:szCs w:val="30"/>
          <w:lang w:val="en-US" w:eastAsia="zh-CN" w:bidi="ar-SA"/>
        </w:rPr>
      </w:pPr>
      <w:bookmarkStart w:id="20" w:name="_Toc16436"/>
      <w:r>
        <w:rPr>
          <w:rFonts w:hint="eastAsia" w:ascii="Times New Roman" w:hAnsi="Times New Roman" w:eastAsia="仿宋_GB2312" w:cs="Times New Roman"/>
          <w:b/>
          <w:bCs/>
          <w:color w:val="auto"/>
          <w:spacing w:val="2"/>
          <w:kern w:val="2"/>
          <w:sz w:val="30"/>
          <w:szCs w:val="30"/>
          <w:lang w:val="en-US" w:eastAsia="zh-CN" w:bidi="ar-SA"/>
        </w:rPr>
        <w:t>（二）公共基础课设置及要求</w:t>
      </w:r>
      <w:bookmarkEnd w:id="20"/>
    </w:p>
    <w:p w14:paraId="5620267B">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5DDA11DF">
      <w:pPr>
        <w:keepNext w:val="0"/>
        <w:keepLines w:val="0"/>
        <w:pageBreakBefore w:val="0"/>
        <w:widowControl w:val="0"/>
        <w:kinsoku/>
        <w:wordWrap/>
        <w:overflowPunct/>
        <w:topLinePunct w:val="0"/>
        <w:autoSpaceDE/>
        <w:autoSpaceDN/>
        <w:bidi w:val="0"/>
        <w:adjustRightInd/>
        <w:snapToGrid/>
        <w:spacing w:line="540" w:lineRule="exact"/>
        <w:ind w:firstLine="3600" w:firstLineChars="1200"/>
        <w:jc w:val="left"/>
        <w:textAlignment w:val="auto"/>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公共基础课程一览表</w:t>
      </w:r>
    </w:p>
    <w:tbl>
      <w:tblPr>
        <w:tblStyle w:val="15"/>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4710E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7E61E225">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bookmarkStart w:id="21" w:name="OLE_LINK1"/>
            <w:r>
              <w:rPr>
                <w:rFonts w:hint="eastAsia" w:ascii="Times New Roman" w:hAnsi="Times New Roman" w:eastAsia="仿宋_GB2312" w:cs="Times New Roman"/>
                <w:color w:val="auto"/>
                <w:spacing w:val="-2"/>
                <w:sz w:val="24"/>
                <w:szCs w:val="24"/>
                <w:lang w:val="en-US" w:eastAsia="zh-CN"/>
              </w:rPr>
              <w:t>序号</w:t>
            </w:r>
          </w:p>
        </w:tc>
        <w:tc>
          <w:tcPr>
            <w:tcW w:w="789" w:type="pct"/>
            <w:noWrap w:val="0"/>
            <w:vAlign w:val="center"/>
          </w:tcPr>
          <w:p w14:paraId="56398A4B">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7"/>
                <w:sz w:val="24"/>
                <w:szCs w:val="24"/>
              </w:rPr>
            </w:pPr>
            <w:r>
              <w:rPr>
                <w:rFonts w:hint="eastAsia" w:ascii="Times New Roman" w:hAnsi="Times New Roman" w:eastAsia="仿宋_GB2312" w:cs="Times New Roman"/>
                <w:color w:val="auto"/>
                <w:spacing w:val="-2"/>
                <w:sz w:val="24"/>
                <w:szCs w:val="24"/>
              </w:rPr>
              <w:t>课程名称</w:t>
            </w:r>
          </w:p>
        </w:tc>
        <w:tc>
          <w:tcPr>
            <w:tcW w:w="3357" w:type="pct"/>
            <w:noWrap w:val="0"/>
            <w:vAlign w:val="center"/>
          </w:tcPr>
          <w:p w14:paraId="70337BF1">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2"/>
                <w:sz w:val="24"/>
                <w:szCs w:val="24"/>
              </w:rPr>
              <w:t>主要教学内容和要求</w:t>
            </w:r>
          </w:p>
        </w:tc>
        <w:tc>
          <w:tcPr>
            <w:tcW w:w="574" w:type="pct"/>
            <w:noWrap w:val="0"/>
            <w:vAlign w:val="center"/>
          </w:tcPr>
          <w:p w14:paraId="3C73DA79">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计划学时</w:t>
            </w:r>
          </w:p>
        </w:tc>
      </w:tr>
      <w:tr w14:paraId="7101D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noWrap w:val="0"/>
            <w:vAlign w:val="center"/>
          </w:tcPr>
          <w:p w14:paraId="52F4CB84">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7"/>
                <w:sz w:val="24"/>
                <w:szCs w:val="24"/>
                <w:lang w:val="en-US" w:eastAsia="zh-CN"/>
              </w:rPr>
            </w:pPr>
            <w:r>
              <w:rPr>
                <w:rFonts w:hint="eastAsia" w:ascii="Times New Roman" w:hAnsi="Times New Roman" w:eastAsia="仿宋_GB2312" w:cs="Times New Roman"/>
                <w:color w:val="auto"/>
                <w:spacing w:val="-7"/>
                <w:sz w:val="24"/>
                <w:szCs w:val="24"/>
                <w:lang w:val="en-US" w:eastAsia="zh-CN"/>
              </w:rPr>
              <w:t>1</w:t>
            </w:r>
          </w:p>
        </w:tc>
        <w:tc>
          <w:tcPr>
            <w:tcW w:w="789" w:type="pct"/>
            <w:noWrap w:val="0"/>
            <w:vAlign w:val="center"/>
          </w:tcPr>
          <w:p w14:paraId="26C59F56">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中国特色社会</w:t>
            </w:r>
            <w:r>
              <w:rPr>
                <w:rFonts w:hint="eastAsia" w:ascii="Times New Roman" w:hAnsi="Times New Roman" w:eastAsia="仿宋_GB2312" w:cs="Times New Roman"/>
                <w:color w:val="auto"/>
                <w:spacing w:val="-5"/>
                <w:sz w:val="24"/>
                <w:szCs w:val="24"/>
              </w:rPr>
              <w:t>主义</w:t>
            </w:r>
          </w:p>
        </w:tc>
        <w:tc>
          <w:tcPr>
            <w:tcW w:w="3357" w:type="pct"/>
            <w:noWrap w:val="0"/>
            <w:vAlign w:val="top"/>
          </w:tcPr>
          <w:p w14:paraId="12E3D063">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依据《中等职业学校思政课课程标准》开设，以习近平新时代中国特色社会主义思想为指导，阐释中国特色社会主义的开创与发展，明确中国特色社会主义进入新时代的历史方</w:t>
            </w:r>
            <w:r>
              <w:rPr>
                <w:rFonts w:hint="eastAsia" w:ascii="Times New Roman" w:hAnsi="Times New Roman" w:eastAsia="仿宋_GB2312" w:cs="Times New Roman"/>
                <w:color w:val="auto"/>
                <w:spacing w:val="5"/>
                <w:sz w:val="24"/>
                <w:szCs w:val="24"/>
              </w:rPr>
              <w:t>位，阐明中国特色社会主义建设“五位一体”</w:t>
            </w:r>
            <w:r>
              <w:rPr>
                <w:rFonts w:hint="eastAsia" w:ascii="Times New Roman" w:hAnsi="Times New Roman" w:eastAsia="仿宋_GB2312" w:cs="Times New Roman"/>
                <w:color w:val="auto"/>
                <w:spacing w:val="-1"/>
                <w:sz w:val="24"/>
                <w:szCs w:val="24"/>
              </w:rPr>
              <w:t>总体布局的基本内容，引导学生树立对马克思</w:t>
            </w:r>
            <w:r>
              <w:rPr>
                <w:rFonts w:hint="eastAsia" w:ascii="Times New Roman" w:hAnsi="Times New Roman" w:eastAsia="仿宋_GB2312" w:cs="Times New Roman"/>
                <w:color w:val="auto"/>
                <w:spacing w:val="4"/>
                <w:sz w:val="24"/>
                <w:szCs w:val="24"/>
              </w:rPr>
              <w:t xml:space="preserve"> </w:t>
            </w:r>
            <w:r>
              <w:rPr>
                <w:rFonts w:hint="eastAsia" w:ascii="Times New Roman" w:hAnsi="Times New Roman" w:eastAsia="仿宋_GB2312" w:cs="Times New Roman"/>
                <w:color w:val="auto"/>
                <w:spacing w:val="-1"/>
                <w:sz w:val="24"/>
                <w:szCs w:val="24"/>
              </w:rPr>
              <w:t>主义的信仰、对中国特色社会主义的信念、对中华民族伟大复兴中国梦的信心，坚定中国特</w:t>
            </w:r>
            <w:r>
              <w:rPr>
                <w:rFonts w:hint="eastAsia" w:ascii="Times New Roman" w:hAnsi="Times New Roman" w:eastAsia="仿宋_GB2312" w:cs="Times New Roman"/>
                <w:color w:val="auto"/>
                <w:sz w:val="24"/>
                <w:szCs w:val="24"/>
              </w:rPr>
              <w:t>色社会主义道路自信、理论自信、制度自信、</w:t>
            </w:r>
            <w:r>
              <w:rPr>
                <w:rFonts w:hint="eastAsia" w:ascii="Times New Roman" w:hAnsi="Times New Roman" w:eastAsia="仿宋_GB2312" w:cs="Times New Roman"/>
                <w:color w:val="auto"/>
                <w:spacing w:val="-1"/>
                <w:sz w:val="24"/>
                <w:szCs w:val="24"/>
              </w:rPr>
              <w:t>文化自信，把爱国情、强国志、报国行自觉融入坚持和发展中国特色社会主义事业</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建设社会主义现代化强国、实现中华民族伟大复兴的</w:t>
            </w:r>
            <w:r>
              <w:rPr>
                <w:rFonts w:hint="eastAsia" w:ascii="Times New Roman" w:hAnsi="Times New Roman" w:eastAsia="仿宋_GB2312" w:cs="Times New Roman"/>
                <w:color w:val="auto"/>
                <w:spacing w:val="-10"/>
                <w:sz w:val="24"/>
                <w:szCs w:val="24"/>
              </w:rPr>
              <w:t>奋斗之中。</w:t>
            </w:r>
          </w:p>
        </w:tc>
        <w:tc>
          <w:tcPr>
            <w:tcW w:w="574" w:type="pct"/>
            <w:noWrap w:val="0"/>
            <w:vAlign w:val="center"/>
          </w:tcPr>
          <w:p w14:paraId="5EE3E82C">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36</w:t>
            </w:r>
          </w:p>
        </w:tc>
      </w:tr>
      <w:tr w14:paraId="52101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noWrap w:val="0"/>
            <w:vAlign w:val="center"/>
          </w:tcPr>
          <w:p w14:paraId="1CCFCC97">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2</w:t>
            </w:r>
          </w:p>
        </w:tc>
        <w:tc>
          <w:tcPr>
            <w:tcW w:w="789" w:type="pct"/>
            <w:noWrap w:val="0"/>
            <w:vAlign w:val="center"/>
          </w:tcPr>
          <w:p w14:paraId="1DE25B9C">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心理健康与职</w:t>
            </w:r>
            <w:r>
              <w:rPr>
                <w:rFonts w:hint="eastAsia" w:ascii="Times New Roman" w:hAnsi="Times New Roman" w:eastAsia="仿宋_GB2312" w:cs="Times New Roman"/>
                <w:color w:val="auto"/>
                <w:spacing w:val="-5"/>
                <w:sz w:val="24"/>
                <w:szCs w:val="24"/>
              </w:rPr>
              <w:t>业生涯</w:t>
            </w:r>
          </w:p>
        </w:tc>
        <w:tc>
          <w:tcPr>
            <w:tcW w:w="3357" w:type="pct"/>
            <w:noWrap w:val="0"/>
            <w:vAlign w:val="top"/>
          </w:tcPr>
          <w:p w14:paraId="286310FA">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ascii="Times New Roman" w:hAnsi="Times New Roman" w:eastAsia="仿宋_GB2312" w:cs="Times New Roman"/>
                <w:color w:val="auto"/>
                <w:spacing w:val="-2"/>
                <w:sz w:val="24"/>
                <w:szCs w:val="24"/>
              </w:rPr>
              <w:t>强、敬业乐群的心理品质和自尊自信、理性平</w:t>
            </w:r>
            <w:r>
              <w:rPr>
                <w:rFonts w:hint="eastAsia" w:ascii="Times New Roman" w:hAnsi="Times New Roman" w:eastAsia="仿宋_GB2312" w:cs="Times New Roman"/>
                <w:color w:val="auto"/>
                <w:spacing w:val="-1"/>
                <w:sz w:val="24"/>
                <w:szCs w:val="24"/>
              </w:rPr>
              <w:t>和、积极向上的良好心态，根据社会发展需要和学生心理特点进行职业生涯指导，为职业生</w:t>
            </w:r>
            <w:r>
              <w:rPr>
                <w:rFonts w:hint="eastAsia" w:ascii="Times New Roman" w:hAnsi="Times New Roman" w:eastAsia="仿宋_GB2312" w:cs="Times New Roman"/>
                <w:color w:val="auto"/>
                <w:spacing w:val="-7"/>
                <w:sz w:val="24"/>
                <w:szCs w:val="24"/>
              </w:rPr>
              <w:t>涯发展奠定基础。</w:t>
            </w:r>
          </w:p>
        </w:tc>
        <w:tc>
          <w:tcPr>
            <w:tcW w:w="574" w:type="pct"/>
            <w:noWrap w:val="0"/>
            <w:vAlign w:val="center"/>
          </w:tcPr>
          <w:p w14:paraId="1313A74C">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6635D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noWrap w:val="0"/>
            <w:vAlign w:val="center"/>
          </w:tcPr>
          <w:p w14:paraId="37028CC0">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3</w:t>
            </w:r>
          </w:p>
        </w:tc>
        <w:tc>
          <w:tcPr>
            <w:tcW w:w="789" w:type="pct"/>
            <w:noWrap w:val="0"/>
            <w:vAlign w:val="center"/>
          </w:tcPr>
          <w:p w14:paraId="05254F0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哲学与人生</w:t>
            </w:r>
          </w:p>
        </w:tc>
        <w:tc>
          <w:tcPr>
            <w:tcW w:w="3357" w:type="pct"/>
            <w:noWrap w:val="0"/>
            <w:vAlign w:val="top"/>
          </w:tcPr>
          <w:p w14:paraId="03414857">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ascii="Times New Roman" w:hAnsi="Times New Roman" w:eastAsia="仿宋_GB2312" w:cs="Times New Roman"/>
                <w:color w:val="auto"/>
                <w:spacing w:val="-9"/>
                <w:sz w:val="24"/>
                <w:szCs w:val="24"/>
              </w:rPr>
              <w:t>价值观基础。</w:t>
            </w:r>
          </w:p>
        </w:tc>
        <w:tc>
          <w:tcPr>
            <w:tcW w:w="574" w:type="pct"/>
            <w:noWrap w:val="0"/>
            <w:vAlign w:val="center"/>
          </w:tcPr>
          <w:p w14:paraId="2A13AD41">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6085A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noWrap w:val="0"/>
            <w:vAlign w:val="center"/>
          </w:tcPr>
          <w:p w14:paraId="49A6FF5A">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4</w:t>
            </w:r>
          </w:p>
        </w:tc>
        <w:tc>
          <w:tcPr>
            <w:tcW w:w="789" w:type="pct"/>
            <w:noWrap w:val="0"/>
            <w:vAlign w:val="center"/>
          </w:tcPr>
          <w:p w14:paraId="231102C6">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5"/>
                <w:sz w:val="24"/>
                <w:szCs w:val="24"/>
              </w:rPr>
              <w:t>职业</w:t>
            </w:r>
            <w:r>
              <w:rPr>
                <w:rFonts w:hint="eastAsia" w:ascii="Times New Roman" w:hAnsi="Times New Roman" w:eastAsia="仿宋_GB2312" w:cs="Times New Roman"/>
                <w:color w:val="auto"/>
                <w:spacing w:val="-5"/>
                <w:sz w:val="24"/>
                <w:szCs w:val="24"/>
                <w:lang w:val="en-US" w:eastAsia="zh-CN"/>
              </w:rPr>
              <w:t>道</w:t>
            </w:r>
            <w:r>
              <w:rPr>
                <w:rFonts w:hint="eastAsia" w:ascii="Times New Roman" w:hAnsi="Times New Roman" w:eastAsia="仿宋_GB2312" w:cs="Times New Roman"/>
                <w:color w:val="auto"/>
                <w:spacing w:val="-5"/>
                <w:sz w:val="24"/>
                <w:szCs w:val="24"/>
              </w:rPr>
              <w:t>德</w:t>
            </w:r>
            <w:r>
              <w:rPr>
                <w:rFonts w:hint="eastAsia" w:ascii="Times New Roman" w:hAnsi="Times New Roman" w:eastAsia="仿宋_GB2312" w:cs="Times New Roman"/>
                <w:color w:val="auto"/>
                <w:spacing w:val="-6"/>
                <w:sz w:val="24"/>
                <w:szCs w:val="24"/>
              </w:rPr>
              <w:t>与法治</w:t>
            </w:r>
          </w:p>
        </w:tc>
        <w:tc>
          <w:tcPr>
            <w:tcW w:w="3357" w:type="pct"/>
            <w:noWrap w:val="0"/>
            <w:vAlign w:val="top"/>
          </w:tcPr>
          <w:p w14:paraId="1CBF76AD">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依据《中等职业学校思政课课程标准》开设，着眼于提高中职学生的职业道德素质和法治素养，对学生进行职业道德和法治教</w:t>
            </w:r>
            <w:r>
              <w:rPr>
                <w:rFonts w:hint="eastAsia" w:ascii="Times New Roman" w:hAnsi="Times New Roman" w:eastAsia="仿宋_GB2312" w:cs="Times New Roman"/>
                <w:color w:val="auto"/>
                <w:spacing w:val="-1"/>
                <w:sz w:val="24"/>
                <w:szCs w:val="24"/>
                <w:lang w:val="en-US" w:eastAsia="zh-CN"/>
              </w:rPr>
              <w:t>育。</w:t>
            </w:r>
            <w:r>
              <w:rPr>
                <w:rFonts w:hint="eastAsia" w:ascii="Times New Roman" w:hAnsi="Times New Roman" w:eastAsia="仿宋_GB2312" w:cs="Times New Roman"/>
                <w:color w:val="auto"/>
                <w:spacing w:val="-1"/>
                <w:sz w:val="24"/>
                <w:szCs w:val="24"/>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4C2092F9">
            <w:pPr>
              <w:pStyle w:val="14"/>
              <w:keepNext w:val="0"/>
              <w:keepLines w:val="0"/>
              <w:pageBreakBefore w:val="0"/>
              <w:wordWrap/>
              <w:overflowPunct/>
              <w:topLinePunct w:val="0"/>
              <w:bidi w:val="0"/>
              <w:spacing w:line="540" w:lineRule="exact"/>
              <w:ind w:left="0" w:leftChars="0" w:right="0" w:rightChars="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59F48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17F82F3">
            <w:pPr>
              <w:pStyle w:val="14"/>
              <w:keepNext w:val="0"/>
              <w:keepLines w:val="0"/>
              <w:pageBreakBefore w:val="0"/>
              <w:wordWrap/>
              <w:overflowPunct/>
              <w:topLinePunct w:val="0"/>
              <w:bidi w:val="0"/>
              <w:spacing w:line="540" w:lineRule="exact"/>
              <w:ind w:left="0" w:leftChars="0" w:right="0" w:rightChars="0"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5</w:t>
            </w:r>
          </w:p>
        </w:tc>
        <w:tc>
          <w:tcPr>
            <w:tcW w:w="789" w:type="pct"/>
            <w:noWrap w:val="0"/>
            <w:vAlign w:val="center"/>
          </w:tcPr>
          <w:p w14:paraId="32398CBD">
            <w:pPr>
              <w:pStyle w:val="14"/>
              <w:keepNext w:val="0"/>
              <w:keepLines w:val="0"/>
              <w:pageBreakBefore w:val="0"/>
              <w:wordWrap/>
              <w:overflowPunct/>
              <w:topLinePunct w:val="0"/>
              <w:bidi w:val="0"/>
              <w:spacing w:line="540" w:lineRule="exact"/>
              <w:ind w:left="0" w:leftChars="0" w:right="0" w:rightChars="0" w:firstLine="0" w:firstLineChars="0"/>
              <w:jc w:val="center"/>
              <w:rPr>
                <w:rFonts w:hint="eastAsia" w:ascii="Times New Roman" w:hAnsi="Times New Roman" w:eastAsia="仿宋_GB2312" w:cs="Times New Roman"/>
                <w:color w:val="auto"/>
                <w:spacing w:val="-6"/>
                <w:sz w:val="24"/>
                <w:szCs w:val="24"/>
              </w:rPr>
            </w:pPr>
            <w:r>
              <w:rPr>
                <w:rFonts w:hint="eastAsia" w:ascii="Times New Roman" w:hAnsi="Times New Roman" w:eastAsia="仿宋_GB2312" w:cs="Times New Roman"/>
                <w:color w:val="auto"/>
                <w:spacing w:val="-6"/>
                <w:sz w:val="24"/>
                <w:szCs w:val="24"/>
              </w:rPr>
              <w:t>习近平新时代中国特色社会主义思想学生读本</w:t>
            </w:r>
          </w:p>
        </w:tc>
        <w:tc>
          <w:tcPr>
            <w:tcW w:w="3357" w:type="pct"/>
            <w:noWrap w:val="0"/>
            <w:vAlign w:val="top"/>
          </w:tcPr>
          <w:p w14:paraId="1623D038">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503DC976">
            <w:pPr>
              <w:pStyle w:val="14"/>
              <w:keepNext w:val="0"/>
              <w:keepLines w:val="0"/>
              <w:pageBreakBefore w:val="0"/>
              <w:wordWrap/>
              <w:overflowPunct/>
              <w:topLinePunct w:val="0"/>
              <w:bidi w:val="0"/>
              <w:spacing w:line="540" w:lineRule="exact"/>
              <w:ind w:left="0" w:leftChars="0" w:right="0" w:rightChars="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20</w:t>
            </w:r>
          </w:p>
        </w:tc>
      </w:tr>
      <w:tr w14:paraId="57ABF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B9D2FDD">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6</w:t>
            </w:r>
          </w:p>
        </w:tc>
        <w:tc>
          <w:tcPr>
            <w:tcW w:w="789" w:type="pct"/>
            <w:noWrap w:val="0"/>
            <w:vAlign w:val="center"/>
          </w:tcPr>
          <w:p w14:paraId="09AC45B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2"/>
                <w:sz w:val="24"/>
                <w:szCs w:val="24"/>
              </w:rPr>
              <w:t>语文</w:t>
            </w:r>
          </w:p>
        </w:tc>
        <w:tc>
          <w:tcPr>
            <w:tcW w:w="3357" w:type="pct"/>
            <w:noWrap w:val="0"/>
            <w:vAlign w:val="top"/>
          </w:tcPr>
          <w:p w14:paraId="30F69CDA">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依据《中等职业学校语文课程标准》开设，对学生进行阅读与欣赏、表达与交流的教学以及语文综合实践活动的开展，使学生掌握必需的语文基础知识，并注重培养学生日常生 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提高科学文化素养，以适应就业和创业的需要，形成良好的个性、健全的人格，促进职业生涯的发展。第五学期课程内容是针对升学模式而设定。</w:t>
            </w:r>
          </w:p>
          <w:p w14:paraId="6BB35246">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包含三个模块：基础模块（144学时）、职业模块（54学时）、拓展模块（36学时）</w:t>
            </w:r>
          </w:p>
        </w:tc>
        <w:tc>
          <w:tcPr>
            <w:tcW w:w="574" w:type="pct"/>
            <w:noWrap w:val="0"/>
            <w:vAlign w:val="center"/>
          </w:tcPr>
          <w:p w14:paraId="3F7A45A1">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234</w:t>
            </w:r>
          </w:p>
        </w:tc>
      </w:tr>
      <w:tr w14:paraId="7DF6B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62340D6">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7</w:t>
            </w:r>
          </w:p>
        </w:tc>
        <w:tc>
          <w:tcPr>
            <w:tcW w:w="789" w:type="pct"/>
            <w:noWrap w:val="0"/>
            <w:vAlign w:val="center"/>
          </w:tcPr>
          <w:p w14:paraId="71D57391">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历史</w:t>
            </w:r>
          </w:p>
        </w:tc>
        <w:tc>
          <w:tcPr>
            <w:tcW w:w="3357" w:type="pct"/>
            <w:noWrap w:val="0"/>
            <w:vAlign w:val="top"/>
          </w:tcPr>
          <w:p w14:paraId="4F58FED2">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48467639">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包含两个模块：基础模块（72学时——中国历史54学时、世界历史27学时）、拓展模块（职业教育与社会发展专题、历史上的著名工匠专题，18学时）</w:t>
            </w:r>
          </w:p>
        </w:tc>
        <w:tc>
          <w:tcPr>
            <w:tcW w:w="574" w:type="pct"/>
            <w:noWrap w:val="0"/>
            <w:vAlign w:val="center"/>
          </w:tcPr>
          <w:p w14:paraId="6D56C3DB">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90</w:t>
            </w:r>
          </w:p>
        </w:tc>
      </w:tr>
      <w:tr w14:paraId="09858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911308C">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8</w:t>
            </w:r>
          </w:p>
        </w:tc>
        <w:tc>
          <w:tcPr>
            <w:tcW w:w="789" w:type="pct"/>
            <w:noWrap w:val="0"/>
            <w:vAlign w:val="center"/>
          </w:tcPr>
          <w:p w14:paraId="7337BC53">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5"/>
                <w:sz w:val="24"/>
                <w:szCs w:val="24"/>
              </w:rPr>
              <w:t>英语</w:t>
            </w:r>
          </w:p>
        </w:tc>
        <w:tc>
          <w:tcPr>
            <w:tcW w:w="3357" w:type="pct"/>
            <w:noWrap w:val="0"/>
            <w:vAlign w:val="top"/>
          </w:tcPr>
          <w:p w14:paraId="1CA589A4">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textAlignment w:val="baseline"/>
              <w:rPr>
                <w:rFonts w:hint="eastAsia" w:ascii="Times New Roman" w:hAnsi="Times New Roman" w:eastAsia="仿宋_GB2312" w:cs="Times New Roman"/>
                <w:color w:val="auto"/>
                <w:spacing w:val="-16"/>
                <w:sz w:val="24"/>
                <w:szCs w:val="24"/>
              </w:rPr>
            </w:pPr>
            <w:r>
              <w:rPr>
                <w:rFonts w:hint="eastAsia" w:ascii="Times New Roman" w:hAnsi="Times New Roman" w:eastAsia="仿宋_GB2312" w:cs="Times New Roman"/>
                <w:color w:val="auto"/>
                <w:spacing w:val="-1"/>
                <w:sz w:val="24"/>
                <w:szCs w:val="24"/>
              </w:rPr>
              <w:t>依据《中等职业学校英语课程标准》开设，对学生进行听、说、读、写、语音、词</w:t>
            </w:r>
            <w:r>
              <w:rPr>
                <w:rFonts w:hint="eastAsia" w:ascii="Times New Roman" w:hAnsi="Times New Roman" w:eastAsia="仿宋_GB2312" w:cs="Times New Roman"/>
                <w:color w:val="auto"/>
                <w:spacing w:val="-2"/>
                <w:sz w:val="24"/>
                <w:szCs w:val="24"/>
              </w:rPr>
              <w:t>汇、语法的教学，帮助学生进一步学习英语基</w:t>
            </w:r>
            <w:r>
              <w:rPr>
                <w:rFonts w:hint="eastAsia" w:ascii="Times New Roman" w:hAnsi="Times New Roman" w:eastAsia="仿宋_GB2312" w:cs="Times New Roman"/>
                <w:color w:val="auto"/>
                <w:spacing w:val="8"/>
                <w:sz w:val="24"/>
                <w:szCs w:val="24"/>
              </w:rPr>
              <w:t xml:space="preserve"> </w:t>
            </w:r>
            <w:r>
              <w:rPr>
                <w:rFonts w:hint="eastAsia" w:ascii="Times New Roman" w:hAnsi="Times New Roman" w:eastAsia="仿宋_GB2312" w:cs="Times New Roman"/>
                <w:color w:val="auto"/>
                <w:spacing w:val="-1"/>
                <w:sz w:val="24"/>
                <w:szCs w:val="24"/>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ascii="Times New Roman" w:hAnsi="Times New Roman" w:eastAsia="仿宋_GB2312" w:cs="Times New Roman"/>
                <w:color w:val="auto"/>
                <w:spacing w:val="-16"/>
                <w:sz w:val="24"/>
                <w:szCs w:val="24"/>
              </w:rPr>
              <w:t>定。</w:t>
            </w:r>
          </w:p>
          <w:p w14:paraId="3530D91E">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6"/>
                <w:kern w:val="2"/>
                <w:sz w:val="24"/>
                <w:szCs w:val="24"/>
                <w:lang w:val="en-US" w:eastAsia="en-US" w:bidi="ar-SA"/>
              </w:rPr>
            </w:pPr>
            <w:r>
              <w:rPr>
                <w:rFonts w:hint="eastAsia" w:ascii="Times New Roman" w:hAnsi="Times New Roman" w:eastAsia="仿宋_GB2312" w:cs="Times New Roman"/>
                <w:color w:val="auto"/>
                <w:spacing w:val="-16"/>
                <w:sz w:val="24"/>
                <w:szCs w:val="24"/>
              </w:rPr>
              <w:t>包含三个模块：基础模块（108学时）、职业模块（36学时）、拓展模块（36学时）</w:t>
            </w:r>
          </w:p>
        </w:tc>
        <w:tc>
          <w:tcPr>
            <w:tcW w:w="574" w:type="pct"/>
            <w:noWrap w:val="0"/>
            <w:vAlign w:val="center"/>
          </w:tcPr>
          <w:p w14:paraId="7AA3F6B9">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eastAsia" w:ascii="Times New Roman" w:hAnsi="Times New Roman" w:eastAsia="仿宋_GB2312" w:cs="Times New Roman"/>
                <w:color w:val="auto"/>
                <w:spacing w:val="-16"/>
                <w:sz w:val="24"/>
                <w:szCs w:val="24"/>
                <w:lang w:val="en-US" w:eastAsia="zh-CN"/>
              </w:rPr>
            </w:pPr>
            <w:r>
              <w:rPr>
                <w:rFonts w:hint="eastAsia" w:ascii="Times New Roman" w:hAnsi="Times New Roman" w:eastAsia="仿宋_GB2312" w:cs="Times New Roman"/>
                <w:color w:val="auto"/>
                <w:spacing w:val="-16"/>
                <w:sz w:val="24"/>
                <w:szCs w:val="24"/>
                <w:lang w:val="en-US" w:eastAsia="zh-CN"/>
              </w:rPr>
              <w:t>180</w:t>
            </w:r>
          </w:p>
        </w:tc>
      </w:tr>
      <w:tr w14:paraId="59788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2EA1CC5">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4"/>
                <w:sz w:val="24"/>
                <w:szCs w:val="24"/>
                <w:lang w:val="en-US" w:eastAsia="zh-CN"/>
              </w:rPr>
            </w:pPr>
            <w:r>
              <w:rPr>
                <w:rFonts w:hint="eastAsia" w:ascii="Times New Roman" w:hAnsi="Times New Roman" w:eastAsia="仿宋_GB2312" w:cs="Times New Roman"/>
                <w:color w:val="auto"/>
                <w:spacing w:val="-4"/>
                <w:sz w:val="24"/>
                <w:szCs w:val="24"/>
                <w:lang w:val="en-US" w:eastAsia="zh-CN"/>
              </w:rPr>
              <w:t>9</w:t>
            </w:r>
          </w:p>
        </w:tc>
        <w:tc>
          <w:tcPr>
            <w:tcW w:w="789" w:type="pct"/>
            <w:noWrap w:val="0"/>
            <w:vAlign w:val="center"/>
          </w:tcPr>
          <w:p w14:paraId="13900FC6">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4"/>
                <w:sz w:val="24"/>
                <w:szCs w:val="24"/>
              </w:rPr>
              <w:t>数学</w:t>
            </w:r>
          </w:p>
        </w:tc>
        <w:tc>
          <w:tcPr>
            <w:tcW w:w="3357" w:type="pct"/>
            <w:noWrap w:val="0"/>
            <w:vAlign w:val="top"/>
          </w:tcPr>
          <w:p w14:paraId="3A901A4B">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依据《中等职业学校数学课程标准》开设，对学生讲授集合、不等式、函数、数列等 内容的教学，使学生掌握必要的数学基础</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060220A3">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textAlignment w:val="baseline"/>
              <w:rPr>
                <w:rFonts w:hint="eastAsia" w:ascii="Times New Roman" w:hAnsi="Times New Roman" w:eastAsia="仿宋_GB2312" w:cs="Times New Roman"/>
                <w:color w:val="auto"/>
                <w:spacing w:val="-1"/>
                <w:kern w:val="2"/>
                <w:sz w:val="24"/>
                <w:szCs w:val="24"/>
                <w:lang w:val="en-US" w:eastAsia="en-US" w:bidi="ar-SA"/>
              </w:rPr>
            </w:pPr>
            <w:r>
              <w:rPr>
                <w:rFonts w:hint="eastAsia" w:ascii="Times New Roman" w:hAnsi="Times New Roman" w:eastAsia="仿宋_GB2312" w:cs="Times New Roman"/>
                <w:color w:val="auto"/>
                <w:spacing w:val="-1"/>
                <w:kern w:val="2"/>
                <w:sz w:val="24"/>
                <w:szCs w:val="24"/>
                <w:lang w:val="en-US" w:eastAsia="en-US" w:bidi="ar-SA"/>
              </w:rPr>
              <w:t>包含两个模块：基础模块（108学时）、拓展模块（专题与案例，36学时）</w:t>
            </w:r>
          </w:p>
        </w:tc>
        <w:tc>
          <w:tcPr>
            <w:tcW w:w="574" w:type="pct"/>
            <w:noWrap w:val="0"/>
            <w:vAlign w:val="center"/>
          </w:tcPr>
          <w:p w14:paraId="0DD20D80">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jc w:val="center"/>
              <w:textAlignment w:val="baseline"/>
              <w:rPr>
                <w:rFonts w:hint="eastAsia"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144</w:t>
            </w:r>
          </w:p>
        </w:tc>
      </w:tr>
      <w:tr w14:paraId="75DD3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DFA283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c>
          <w:tcPr>
            <w:tcW w:w="789" w:type="pct"/>
            <w:noWrap w:val="0"/>
            <w:vAlign w:val="center"/>
          </w:tcPr>
          <w:p w14:paraId="589230DE">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1"/>
                <w:sz w:val="24"/>
                <w:szCs w:val="24"/>
              </w:rPr>
              <w:t>信息技术</w:t>
            </w:r>
          </w:p>
        </w:tc>
        <w:tc>
          <w:tcPr>
            <w:tcW w:w="3357" w:type="pct"/>
            <w:noWrap w:val="0"/>
            <w:vAlign w:val="top"/>
          </w:tcPr>
          <w:p w14:paraId="53560E15">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jc w:val="both"/>
              <w:textAlignment w:val="baseline"/>
              <w:rPr>
                <w:rFonts w:hint="eastAsia" w:ascii="Times New Roman" w:hAnsi="Times New Roman" w:eastAsia="仿宋_GB2312" w:cs="Times New Roman"/>
                <w:color w:val="auto"/>
                <w:spacing w:val="-8"/>
                <w:sz w:val="24"/>
                <w:szCs w:val="24"/>
              </w:rPr>
            </w:pPr>
            <w:r>
              <w:rPr>
                <w:rFonts w:hint="eastAsia" w:ascii="Times New Roman" w:hAnsi="Times New Roman" w:eastAsia="仿宋_GB2312" w:cs="Times New Roman"/>
                <w:color w:val="auto"/>
                <w:spacing w:val="-1"/>
                <w:sz w:val="24"/>
                <w:szCs w:val="24"/>
              </w:rPr>
              <w:t>依据《中等职业学校信息技术课程标准》</w:t>
            </w:r>
            <w:r>
              <w:rPr>
                <w:rFonts w:hint="eastAsia" w:ascii="Times New Roman" w:hAnsi="Times New Roman" w:eastAsia="仿宋_GB2312" w:cs="Times New Roman"/>
                <w:color w:val="auto"/>
                <w:spacing w:val="11"/>
                <w:sz w:val="24"/>
                <w:szCs w:val="24"/>
              </w:rPr>
              <w:t xml:space="preserve"> </w:t>
            </w:r>
            <w:r>
              <w:rPr>
                <w:rFonts w:hint="eastAsia" w:ascii="Times New Roman" w:hAnsi="Times New Roman" w:eastAsia="仿宋_GB2312" w:cs="Times New Roman"/>
                <w:color w:val="auto"/>
                <w:spacing w:val="-1"/>
                <w:sz w:val="24"/>
                <w:szCs w:val="24"/>
              </w:rPr>
              <w:t>开设，对学生进行计算机基础知识、操作系统</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的使用、因特网应用、文字处理软件应用、电子表格处理软件应用、多媒体软件应用、演示文稿软件应用的计算机教学，使学生掌握必备</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的计算机应用基础知识和基本技能，提高学生计算机基本操作、办公应用、网络应用、多媒体技术应用等方面的技能，培养学生应用计算机解决工作与生活中实际问题的能力，使学生能够根据职业需求运用计算机，体验利用计算</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机技术获取信息、处理信息、分析信息、发布</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8"/>
                <w:sz w:val="24"/>
                <w:szCs w:val="24"/>
              </w:rPr>
              <w:t>信息的过程。</w:t>
            </w:r>
          </w:p>
          <w:p w14:paraId="1141B15E">
            <w:pPr>
              <w:pStyle w:val="14"/>
              <w:keepNext w:val="0"/>
              <w:keepLines w:val="0"/>
              <w:pageBreakBefore w:val="0"/>
              <w:wordWrap/>
              <w:overflowPunct/>
              <w:topLinePunct w:val="0"/>
              <w:bidi w:val="0"/>
              <w:spacing w:line="540" w:lineRule="exact"/>
              <w:ind w:left="0" w:leftChars="0" w:right="0" w:rightChars="0" w:firstLine="0" w:firstLineChars="0"/>
              <w:jc w:val="both"/>
              <w:rPr>
                <w:rFonts w:hint="eastAsia" w:ascii="Times New Roman" w:hAnsi="Times New Roman" w:eastAsia="仿宋_GB2312" w:cs="Times New Roman"/>
                <w:color w:val="auto"/>
                <w:spacing w:val="-8"/>
                <w:sz w:val="24"/>
                <w:szCs w:val="24"/>
                <w:lang w:val="en-US" w:eastAsia="en-US"/>
              </w:rPr>
            </w:pPr>
            <w:r>
              <w:rPr>
                <w:rFonts w:hint="eastAsia" w:ascii="Times New Roman" w:hAnsi="Times New Roman" w:eastAsia="仿宋_GB2312" w:cs="Times New Roman"/>
                <w:color w:val="auto"/>
                <w:spacing w:val="-8"/>
                <w:sz w:val="24"/>
                <w:szCs w:val="24"/>
                <w:lang w:val="en-US" w:eastAsia="en-US"/>
              </w:rPr>
              <w:t>包含两个模块：基础模块（108学时）、拓展模块（36学时）</w:t>
            </w:r>
          </w:p>
        </w:tc>
        <w:tc>
          <w:tcPr>
            <w:tcW w:w="574" w:type="pct"/>
            <w:noWrap w:val="0"/>
            <w:vAlign w:val="center"/>
          </w:tcPr>
          <w:p w14:paraId="14B8C715">
            <w:pPr>
              <w:pStyle w:val="14"/>
              <w:keepNext w:val="0"/>
              <w:keepLines w:val="0"/>
              <w:pageBreakBefore w:val="0"/>
              <w:wordWrap/>
              <w:overflowPunct/>
              <w:topLinePunct w:val="0"/>
              <w:bidi w:val="0"/>
              <w:spacing w:line="540" w:lineRule="exact"/>
              <w:ind w:left="0" w:leftChars="0" w:right="0" w:rightChars="0" w:firstLine="0" w:firstLineChars="0"/>
              <w:jc w:val="center"/>
              <w:rPr>
                <w:rFonts w:hint="eastAsia" w:ascii="Times New Roman" w:hAnsi="Times New Roman" w:eastAsia="仿宋_GB2312" w:cs="Times New Roman"/>
                <w:color w:val="auto"/>
                <w:spacing w:val="-8"/>
                <w:sz w:val="24"/>
                <w:szCs w:val="24"/>
                <w:lang w:val="en-US" w:eastAsia="zh-CN"/>
              </w:rPr>
            </w:pPr>
            <w:r>
              <w:rPr>
                <w:rFonts w:hint="eastAsia" w:ascii="Times New Roman" w:hAnsi="Times New Roman" w:eastAsia="仿宋_GB2312" w:cs="Times New Roman"/>
                <w:color w:val="auto"/>
                <w:spacing w:val="-8"/>
                <w:sz w:val="24"/>
                <w:szCs w:val="24"/>
                <w:lang w:val="en-US" w:eastAsia="zh-CN"/>
              </w:rPr>
              <w:t>144</w:t>
            </w:r>
          </w:p>
        </w:tc>
      </w:tr>
      <w:tr w14:paraId="7E138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CEC459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11</w:t>
            </w:r>
          </w:p>
        </w:tc>
        <w:tc>
          <w:tcPr>
            <w:tcW w:w="789" w:type="pct"/>
            <w:noWrap w:val="0"/>
            <w:vAlign w:val="center"/>
          </w:tcPr>
          <w:p w14:paraId="09B05AB8">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体育与健康</w:t>
            </w:r>
          </w:p>
        </w:tc>
        <w:tc>
          <w:tcPr>
            <w:tcW w:w="3357" w:type="pct"/>
            <w:noWrap w:val="0"/>
            <w:vAlign w:val="top"/>
          </w:tcPr>
          <w:p w14:paraId="1A17DD78">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 炼的意识、能力与习惯，提高生活质量，为全面促进学生身体健康、心理健康和社会适应能力服务。</w:t>
            </w:r>
          </w:p>
          <w:p w14:paraId="0C9D8E3C">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包含两个模块：基础模块（54学时）、拓展模块（90学时，其中球类45学时、民间传统体育类45学时）</w:t>
            </w:r>
          </w:p>
        </w:tc>
        <w:tc>
          <w:tcPr>
            <w:tcW w:w="574" w:type="pct"/>
            <w:noWrap w:val="0"/>
            <w:vAlign w:val="center"/>
          </w:tcPr>
          <w:p w14:paraId="08AE2668">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144</w:t>
            </w:r>
          </w:p>
        </w:tc>
      </w:tr>
      <w:tr w14:paraId="1D75A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C0F9C75">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12</w:t>
            </w:r>
          </w:p>
        </w:tc>
        <w:tc>
          <w:tcPr>
            <w:tcW w:w="789" w:type="pct"/>
            <w:noWrap w:val="0"/>
            <w:vAlign w:val="center"/>
          </w:tcPr>
          <w:p w14:paraId="55ECD2BC">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艺术</w:t>
            </w:r>
          </w:p>
        </w:tc>
        <w:tc>
          <w:tcPr>
            <w:tcW w:w="3357" w:type="pct"/>
            <w:noWrap w:val="0"/>
            <w:vAlign w:val="top"/>
          </w:tcPr>
          <w:p w14:paraId="48457C86">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依据《中等职业学校公共艺术课程标准》开设，以学生普遍具有一定认知基础、喜闻乐 见的音乐和美术作为主要教学内容，使学生了解科学的音乐欣赏体系，欣赏优秀的音乐作品，为美妙的乐声所陶醉，感受着精神境界的升华；丰富音乐素养，提高审美情趣，从而培养高尚的情操和品格。学习不同美术类型（绘 画、书法、雕塑、工艺、摄影等）的表现形式与发展演变进程，使学生了解美术的基础知识、技能与原理，熟悉基本审美特征，理解作品的思想情感与人文内涵，感受社会美、自然美和艺术美的统一，提高审美能力。</w:t>
            </w:r>
          </w:p>
          <w:p w14:paraId="1F1CB6B1">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包含两个模块：基础模块（音乐欣赏18学时、美术鉴赏18学时）、拓展模块（歌唱18学时、中国传统工艺18学时）</w:t>
            </w:r>
          </w:p>
        </w:tc>
        <w:tc>
          <w:tcPr>
            <w:tcW w:w="574" w:type="pct"/>
            <w:noWrap w:val="0"/>
            <w:vAlign w:val="center"/>
          </w:tcPr>
          <w:p w14:paraId="33A20A8F">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72</w:t>
            </w:r>
          </w:p>
        </w:tc>
      </w:tr>
      <w:tr w14:paraId="2A09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02D1E19">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13</w:t>
            </w:r>
          </w:p>
        </w:tc>
        <w:tc>
          <w:tcPr>
            <w:tcW w:w="789" w:type="pct"/>
            <w:noWrap w:val="0"/>
            <w:vAlign w:val="center"/>
          </w:tcPr>
          <w:p w14:paraId="123DBEC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军事训练</w:t>
            </w:r>
          </w:p>
          <w:p w14:paraId="09A94311">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和国防教育</w:t>
            </w:r>
          </w:p>
        </w:tc>
        <w:tc>
          <w:tcPr>
            <w:tcW w:w="3357" w:type="pct"/>
            <w:noWrap w:val="0"/>
            <w:vAlign w:val="top"/>
          </w:tcPr>
          <w:p w14:paraId="5B9BCB9C">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依据《高级中学学生军事训练教学大纲》开设，该大纲适用于各类中等职业学校。通过接受国防教育、军事训练，掌握基本军事知识和技能，增强国防观念和国家安全意识，强化爱国主 义、集体主义和革命英雄主义观念，加强组织性和纪律性，培养学生的行为习惯和艰苦奋斗的作风、促进学生综合素质的提高。</w:t>
            </w:r>
          </w:p>
        </w:tc>
        <w:tc>
          <w:tcPr>
            <w:tcW w:w="574" w:type="pct"/>
            <w:noWrap w:val="0"/>
            <w:vAlign w:val="center"/>
          </w:tcPr>
          <w:p w14:paraId="32EBAA16">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72</w:t>
            </w:r>
          </w:p>
        </w:tc>
      </w:tr>
      <w:tr w14:paraId="73E4F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8E4AAAF">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14</w:t>
            </w:r>
          </w:p>
        </w:tc>
        <w:tc>
          <w:tcPr>
            <w:tcW w:w="789" w:type="pct"/>
            <w:noWrap w:val="0"/>
            <w:vAlign w:val="center"/>
          </w:tcPr>
          <w:p w14:paraId="349F9AE5">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安全教育</w:t>
            </w:r>
          </w:p>
        </w:tc>
        <w:tc>
          <w:tcPr>
            <w:tcW w:w="3357" w:type="pct"/>
            <w:noWrap w:val="0"/>
            <w:vAlign w:val="top"/>
          </w:tcPr>
          <w:p w14:paraId="5B9F604A">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6356178F">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r>
      <w:tr w14:paraId="25840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DEF4A3D">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15</w:t>
            </w:r>
          </w:p>
        </w:tc>
        <w:tc>
          <w:tcPr>
            <w:tcW w:w="789" w:type="pct"/>
            <w:noWrap w:val="0"/>
            <w:vAlign w:val="center"/>
          </w:tcPr>
          <w:p w14:paraId="2111F84E">
            <w:pPr>
              <w:pStyle w:val="14"/>
              <w:keepNext w:val="0"/>
              <w:keepLines w:val="0"/>
              <w:pageBreakBefore w:val="0"/>
              <w:wordWrap/>
              <w:overflowPunct/>
              <w:topLinePunct w:val="0"/>
              <w:bidi w:val="0"/>
              <w:spacing w:line="54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劳动教育</w:t>
            </w:r>
          </w:p>
        </w:tc>
        <w:tc>
          <w:tcPr>
            <w:tcW w:w="3357" w:type="pct"/>
            <w:noWrap w:val="0"/>
            <w:vAlign w:val="top"/>
          </w:tcPr>
          <w:p w14:paraId="12FC94E0">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通过劳动教育、生活劳动、农业种植劳动、生产劳动、志愿者服务劳动等，实践学时不小于总学时 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3A377A27">
            <w:pPr>
              <w:pStyle w:val="14"/>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16</w:t>
            </w:r>
          </w:p>
        </w:tc>
      </w:tr>
      <w:tr w14:paraId="176D5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542" w:type="dxa"/>
            <w:noWrap w:val="0"/>
            <w:vAlign w:val="center"/>
          </w:tcPr>
          <w:p w14:paraId="5A2DF950">
            <w:pPr>
              <w:pStyle w:val="14"/>
              <w:keepNext w:val="0"/>
              <w:keepLines w:val="0"/>
              <w:pageBreakBefore w:val="0"/>
              <w:widowControl w:val="0"/>
              <w:kinsoku/>
              <w:wordWrap/>
              <w:overflowPunct/>
              <w:topLinePunct w:val="0"/>
              <w:bidi w:val="0"/>
              <w:spacing w:line="520" w:lineRule="atLeast"/>
              <w:ind w:left="0" w:leftChars="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16</w:t>
            </w:r>
          </w:p>
        </w:tc>
        <w:tc>
          <w:tcPr>
            <w:tcW w:w="1539" w:type="dxa"/>
            <w:noWrap w:val="0"/>
            <w:vAlign w:val="center"/>
          </w:tcPr>
          <w:p w14:paraId="2E60A2C0">
            <w:pPr>
              <w:pStyle w:val="14"/>
              <w:keepNext w:val="0"/>
              <w:keepLines w:val="0"/>
              <w:pageBreakBefore w:val="0"/>
              <w:widowControl w:val="0"/>
              <w:kinsoku/>
              <w:wordWrap/>
              <w:overflowPunct/>
              <w:topLinePunct w:val="0"/>
              <w:bidi w:val="0"/>
              <w:spacing w:line="520" w:lineRule="atLeast"/>
              <w:ind w:left="0" w:leftChars="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人工智能通识教育</w:t>
            </w:r>
          </w:p>
        </w:tc>
        <w:tc>
          <w:tcPr>
            <w:tcW w:w="6549" w:type="dxa"/>
            <w:noWrap w:val="0"/>
            <w:vAlign w:val="top"/>
          </w:tcPr>
          <w:p w14:paraId="4161FD5B">
            <w:pPr>
              <w:pStyle w:val="14"/>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52" w:firstLineChars="200"/>
              <w:textAlignment w:val="auto"/>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1120" w:type="dxa"/>
            <w:noWrap w:val="0"/>
            <w:vAlign w:val="center"/>
          </w:tcPr>
          <w:p w14:paraId="7E0FB117">
            <w:pPr>
              <w:pStyle w:val="14"/>
              <w:keepNext w:val="0"/>
              <w:keepLines w:val="0"/>
              <w:pageBreakBefore w:val="0"/>
              <w:widowControl w:val="0"/>
              <w:kinsoku/>
              <w:wordWrap/>
              <w:overflowPunct/>
              <w:topLinePunct w:val="0"/>
              <w:autoSpaceDE w:val="0"/>
              <w:autoSpaceDN w:val="0"/>
              <w:bidi w:val="0"/>
              <w:adjustRightInd w:val="0"/>
              <w:snapToGrid w:val="0"/>
              <w:spacing w:line="52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40</w:t>
            </w:r>
          </w:p>
        </w:tc>
      </w:tr>
      <w:bookmarkEnd w:id="21"/>
    </w:tbl>
    <w:p w14:paraId="54FDF743">
      <w:pPr>
        <w:keepNext w:val="0"/>
        <w:keepLines w:val="0"/>
        <w:pageBreakBefore w:val="0"/>
        <w:numPr>
          <w:ilvl w:val="0"/>
          <w:numId w:val="0"/>
        </w:numPr>
        <w:wordWrap/>
        <w:overflowPunct/>
        <w:topLinePunct w:val="0"/>
        <w:bidi w:val="0"/>
        <w:spacing w:line="540" w:lineRule="exact"/>
        <w:ind w:leftChars="200"/>
        <w:outlineLvl w:val="0"/>
        <w:rPr>
          <w:rFonts w:hint="eastAsia" w:ascii="Times New Roman" w:hAnsi="Times New Roman" w:eastAsia="仿宋_GB2312" w:cs="Times New Roman"/>
          <w:b/>
          <w:bCs/>
          <w:color w:val="auto"/>
          <w:spacing w:val="5"/>
          <w:sz w:val="30"/>
          <w:szCs w:val="30"/>
        </w:rPr>
      </w:pPr>
      <w:bookmarkStart w:id="22" w:name="_Toc19257"/>
      <w:r>
        <w:rPr>
          <w:rFonts w:hint="eastAsia" w:ascii="Times New Roman" w:hAnsi="Times New Roman" w:eastAsia="仿宋_GB2312" w:cs="Times New Roman"/>
          <w:b/>
          <w:bCs/>
          <w:color w:val="auto"/>
          <w:spacing w:val="5"/>
          <w:sz w:val="30"/>
          <w:szCs w:val="30"/>
          <w:lang w:eastAsia="zh-CN"/>
        </w:rPr>
        <w:t>（</w:t>
      </w:r>
      <w:r>
        <w:rPr>
          <w:rFonts w:hint="eastAsia" w:ascii="Times New Roman" w:hAnsi="Times New Roman" w:eastAsia="仿宋_GB2312" w:cs="Times New Roman"/>
          <w:b/>
          <w:bCs/>
          <w:color w:val="auto"/>
          <w:spacing w:val="5"/>
          <w:sz w:val="30"/>
          <w:szCs w:val="30"/>
          <w:lang w:val="en-US" w:eastAsia="zh-CN"/>
        </w:rPr>
        <w:t>三</w:t>
      </w:r>
      <w:r>
        <w:rPr>
          <w:rFonts w:hint="eastAsia" w:ascii="Times New Roman" w:hAnsi="Times New Roman" w:eastAsia="仿宋_GB2312" w:cs="Times New Roman"/>
          <w:b/>
          <w:bCs/>
          <w:color w:val="auto"/>
          <w:spacing w:val="5"/>
          <w:sz w:val="30"/>
          <w:szCs w:val="30"/>
          <w:lang w:eastAsia="zh-CN"/>
        </w:rPr>
        <w:t>）</w:t>
      </w:r>
      <w:r>
        <w:rPr>
          <w:rFonts w:hint="eastAsia" w:ascii="Times New Roman" w:hAnsi="Times New Roman" w:eastAsia="仿宋_GB2312" w:cs="Times New Roman"/>
          <w:b/>
          <w:bCs/>
          <w:color w:val="auto"/>
          <w:spacing w:val="5"/>
          <w:sz w:val="30"/>
          <w:szCs w:val="30"/>
        </w:rPr>
        <w:t>专业课课程设置及要求</w:t>
      </w:r>
      <w:bookmarkEnd w:id="22"/>
    </w:p>
    <w:p w14:paraId="3B0F6099">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1.专业基础课课程设置及要求</w:t>
      </w:r>
    </w:p>
    <w:tbl>
      <w:tblPr>
        <w:tblStyle w:val="15"/>
        <w:tblW w:w="502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95"/>
        <w:gridCol w:w="6552"/>
        <w:gridCol w:w="1144"/>
      </w:tblGrid>
      <w:tr w14:paraId="7901C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1070" w:type="pct"/>
            <w:vAlign w:val="center"/>
          </w:tcPr>
          <w:p w14:paraId="24160B3D">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45" w:type="pct"/>
            <w:vAlign w:val="center"/>
          </w:tcPr>
          <w:p w14:paraId="055DABD0">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584" w:type="pct"/>
            <w:vAlign w:val="center"/>
          </w:tcPr>
          <w:p w14:paraId="72F30E0D">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p>
          <w:p w14:paraId="7F7606E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9"/>
                <w:sz w:val="24"/>
                <w:szCs w:val="24"/>
              </w:rPr>
              <w:t>学时</w:t>
            </w:r>
          </w:p>
        </w:tc>
      </w:tr>
      <w:tr w14:paraId="37EE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1070" w:type="pct"/>
            <w:vAlign w:val="center"/>
          </w:tcPr>
          <w:p w14:paraId="3FEA9B0F">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素描</w:t>
            </w:r>
          </w:p>
        </w:tc>
        <w:tc>
          <w:tcPr>
            <w:tcW w:w="3345" w:type="pct"/>
            <w:vAlign w:val="center"/>
          </w:tcPr>
          <w:p w14:paraId="3790D203">
            <w:pPr>
              <w:pStyle w:val="14"/>
              <w:keepNext w:val="0"/>
              <w:keepLines w:val="0"/>
              <w:pageBreakBefore w:val="0"/>
              <w:widowControl w:val="0"/>
              <w:kinsoku/>
              <w:wordWrap/>
              <w:overflowPunct/>
              <w:topLinePunct w:val="0"/>
              <w:autoSpaceDE/>
              <w:autoSpaceDN/>
              <w:bidi w:val="0"/>
              <w:adjustRightInd/>
              <w:snapToGrid/>
              <w:spacing w:line="560" w:lineRule="exact"/>
              <w:ind w:left="0" w:right="3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教学内容：系统讲授素描基础理论知识，包含透视原理（一点、两点、三点透视）、光影明暗规律、构图法则、形体结构塑造等核心理论；实训内容涵盖石膏几何单体、组合体</w:t>
            </w:r>
            <w:r>
              <w:rPr>
                <w:rFonts w:hint="eastAsia" w:ascii="Times New Roman" w:hAnsi="Times New Roman" w:eastAsia="仿宋_GB2312" w:cs="Times New Roman"/>
                <w:color w:val="auto"/>
                <w:sz w:val="24"/>
                <w:szCs w:val="24"/>
                <w:lang w:val="en-US" w:eastAsia="zh-CN"/>
              </w:rPr>
              <w:t>结构、明暗</w:t>
            </w:r>
            <w:r>
              <w:rPr>
                <w:rFonts w:hint="default" w:ascii="Times New Roman" w:hAnsi="Times New Roman" w:eastAsia="仿宋_GB2312" w:cs="Times New Roman"/>
                <w:color w:val="auto"/>
                <w:sz w:val="24"/>
                <w:szCs w:val="24"/>
                <w:lang w:val="en-US" w:eastAsia="zh-CN"/>
              </w:rPr>
              <w:t>素描</w:t>
            </w:r>
            <w:r>
              <w:rPr>
                <w:rFonts w:hint="eastAsia" w:ascii="Times New Roman" w:hAnsi="Times New Roman" w:eastAsia="仿宋_GB2312" w:cs="Times New Roman"/>
                <w:color w:val="auto"/>
                <w:sz w:val="24"/>
                <w:szCs w:val="24"/>
                <w:lang w:val="en-US" w:eastAsia="zh-CN"/>
              </w:rPr>
              <w:t>临摹与</w:t>
            </w:r>
            <w:r>
              <w:rPr>
                <w:rFonts w:hint="default" w:ascii="Times New Roman" w:hAnsi="Times New Roman" w:eastAsia="仿宋_GB2312" w:cs="Times New Roman"/>
                <w:color w:val="auto"/>
                <w:sz w:val="24"/>
                <w:szCs w:val="24"/>
                <w:lang w:val="en-US" w:eastAsia="zh-CN"/>
              </w:rPr>
              <w:t>写生</w:t>
            </w:r>
            <w:r>
              <w:rPr>
                <w:rFonts w:hint="eastAsia" w:ascii="Times New Roman" w:hAnsi="Times New Roman" w:eastAsia="仿宋_GB2312" w:cs="Times New Roman"/>
                <w:color w:val="auto"/>
                <w:sz w:val="24"/>
                <w:szCs w:val="24"/>
                <w:lang w:val="en-US" w:eastAsia="zh-CN"/>
              </w:rPr>
              <w:t>。</w:t>
            </w:r>
          </w:p>
          <w:p w14:paraId="25A1EF84">
            <w:pPr>
              <w:pStyle w:val="14"/>
              <w:keepNext w:val="0"/>
              <w:keepLines w:val="0"/>
              <w:pageBreakBefore w:val="0"/>
              <w:widowControl w:val="0"/>
              <w:kinsoku/>
              <w:wordWrap/>
              <w:overflowPunct/>
              <w:topLinePunct w:val="0"/>
              <w:autoSpaceDE/>
              <w:autoSpaceDN/>
              <w:bidi w:val="0"/>
              <w:adjustRightInd/>
              <w:snapToGrid/>
              <w:spacing w:line="560" w:lineRule="exact"/>
              <w:ind w:left="0" w:right="3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教学要求：学生需熟练掌握素描基础造型技法，精准把控物体结构、透视、光影关系；能够独立完成石膏几何单体、组合体</w:t>
            </w:r>
            <w:r>
              <w:rPr>
                <w:rFonts w:hint="eastAsia" w:ascii="Times New Roman" w:hAnsi="Times New Roman" w:eastAsia="仿宋_GB2312" w:cs="Times New Roman"/>
                <w:color w:val="auto"/>
                <w:sz w:val="24"/>
                <w:szCs w:val="24"/>
                <w:lang w:val="en-US" w:eastAsia="zh-CN"/>
              </w:rPr>
              <w:t>结构、明暗</w:t>
            </w:r>
            <w:r>
              <w:rPr>
                <w:rFonts w:hint="default" w:ascii="Times New Roman" w:hAnsi="Times New Roman" w:eastAsia="仿宋_GB2312" w:cs="Times New Roman"/>
                <w:color w:val="auto"/>
                <w:sz w:val="24"/>
                <w:szCs w:val="24"/>
                <w:lang w:val="en-US" w:eastAsia="zh-CN"/>
              </w:rPr>
              <w:t>素描</w:t>
            </w:r>
            <w:r>
              <w:rPr>
                <w:rFonts w:hint="eastAsia" w:ascii="Times New Roman" w:hAnsi="Times New Roman" w:eastAsia="仿宋_GB2312" w:cs="Times New Roman"/>
                <w:color w:val="auto"/>
                <w:sz w:val="24"/>
                <w:szCs w:val="24"/>
                <w:lang w:val="en-US" w:eastAsia="zh-CN"/>
              </w:rPr>
              <w:t>临摹与</w:t>
            </w:r>
            <w:r>
              <w:rPr>
                <w:rFonts w:hint="default" w:ascii="Times New Roman" w:hAnsi="Times New Roman" w:eastAsia="仿宋_GB2312" w:cs="Times New Roman"/>
                <w:color w:val="auto"/>
                <w:sz w:val="24"/>
                <w:szCs w:val="24"/>
                <w:lang w:val="en-US" w:eastAsia="zh-CN"/>
              </w:rPr>
              <w:t>写生</w:t>
            </w:r>
            <w:r>
              <w:rPr>
                <w:rFonts w:hint="eastAsia" w:ascii="Times New Roman" w:hAnsi="Times New Roman" w:eastAsia="仿宋_GB2312" w:cs="Times New Roman"/>
                <w:color w:val="auto"/>
                <w:sz w:val="24"/>
                <w:szCs w:val="24"/>
                <w:lang w:val="en-US" w:eastAsia="zh-CN"/>
              </w:rPr>
              <w:t>。培养学生</w:t>
            </w:r>
            <w:r>
              <w:rPr>
                <w:rFonts w:hint="default" w:ascii="Times New Roman" w:hAnsi="Times New Roman" w:eastAsia="仿宋_GB2312" w:cs="Times New Roman"/>
                <w:color w:val="auto"/>
                <w:sz w:val="24"/>
                <w:szCs w:val="24"/>
                <w:lang w:val="en-US" w:eastAsia="zh-CN"/>
              </w:rPr>
              <w:t>扎实的造型基础与审美能力</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养成严谨细致的美术创作习惯</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为后续</w:t>
            </w:r>
            <w:r>
              <w:rPr>
                <w:rFonts w:hint="eastAsia" w:ascii="Times New Roman" w:hAnsi="Times New Roman" w:eastAsia="仿宋_GB2312" w:cs="Times New Roman"/>
                <w:color w:val="auto"/>
                <w:sz w:val="24"/>
                <w:szCs w:val="24"/>
                <w:lang w:val="en-US" w:eastAsia="zh-CN"/>
              </w:rPr>
              <w:t>游戏美术</w:t>
            </w:r>
            <w:r>
              <w:rPr>
                <w:rFonts w:hint="default" w:ascii="Times New Roman" w:hAnsi="Times New Roman" w:eastAsia="仿宋_GB2312" w:cs="Times New Roman"/>
                <w:color w:val="auto"/>
                <w:sz w:val="24"/>
                <w:szCs w:val="24"/>
                <w:lang w:val="en-US" w:eastAsia="zh-CN"/>
              </w:rPr>
              <w:t>设计、三维建模、动画制作课程筑牢造型根基。</w:t>
            </w:r>
          </w:p>
        </w:tc>
        <w:tc>
          <w:tcPr>
            <w:tcW w:w="584" w:type="pct"/>
            <w:vAlign w:val="center"/>
          </w:tcPr>
          <w:p w14:paraId="564BEF37">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1D8CB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1070" w:type="pct"/>
            <w:vAlign w:val="center"/>
          </w:tcPr>
          <w:p w14:paraId="24CD20D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色彩</w:t>
            </w:r>
          </w:p>
        </w:tc>
        <w:tc>
          <w:tcPr>
            <w:tcW w:w="3345" w:type="pct"/>
            <w:vAlign w:val="center"/>
          </w:tcPr>
          <w:p w14:paraId="4D628F8C">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4"/>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教学内容：全面讲解色彩基础理论，包含色彩三要素、冷暖对比、互补色、邻近色、色彩搭配原理、光影色彩变化、氛围色调塑造等知识点；实训内容为传统色彩</w:t>
            </w:r>
            <w:r>
              <w:rPr>
                <w:rFonts w:hint="eastAsia" w:ascii="Times New Roman" w:hAnsi="Times New Roman" w:eastAsia="仿宋_GB2312" w:cs="Times New Roman"/>
                <w:color w:val="auto"/>
                <w:sz w:val="24"/>
                <w:szCs w:val="24"/>
                <w:lang w:val="en-US" w:eastAsia="zh-CN"/>
              </w:rPr>
              <w:t>静物临摹与写生，</w:t>
            </w:r>
            <w:r>
              <w:rPr>
                <w:rFonts w:hint="default" w:ascii="Times New Roman" w:hAnsi="Times New Roman" w:eastAsia="仿宋_GB2312" w:cs="Times New Roman"/>
                <w:color w:val="auto"/>
                <w:sz w:val="24"/>
                <w:szCs w:val="24"/>
                <w:lang w:val="en-US" w:eastAsia="zh-CN"/>
              </w:rPr>
              <w:t>涵盖</w:t>
            </w:r>
            <w:r>
              <w:rPr>
                <w:rFonts w:hint="eastAsia" w:ascii="Times New Roman" w:hAnsi="Times New Roman" w:eastAsia="仿宋_GB2312" w:cs="Times New Roman"/>
                <w:color w:val="auto"/>
                <w:sz w:val="24"/>
                <w:szCs w:val="24"/>
                <w:lang w:val="en-US" w:eastAsia="zh-CN"/>
              </w:rPr>
              <w:t>单体、组合水粉</w:t>
            </w:r>
            <w:r>
              <w:rPr>
                <w:rFonts w:hint="default" w:ascii="Times New Roman" w:hAnsi="Times New Roman" w:eastAsia="仿宋_GB2312" w:cs="Times New Roman"/>
                <w:color w:val="auto"/>
                <w:sz w:val="24"/>
                <w:szCs w:val="24"/>
                <w:lang w:val="en-US" w:eastAsia="zh-CN"/>
              </w:rPr>
              <w:t>静物水粉上色</w:t>
            </w:r>
            <w:r>
              <w:rPr>
                <w:rFonts w:hint="eastAsia" w:ascii="Times New Roman" w:hAnsi="Times New Roman" w:eastAsia="仿宋_GB2312" w:cs="Times New Roman"/>
                <w:color w:val="auto"/>
                <w:sz w:val="24"/>
                <w:szCs w:val="24"/>
                <w:lang w:val="en-US" w:eastAsia="zh-CN"/>
              </w:rPr>
              <w:t>塑造</w:t>
            </w:r>
            <w:r>
              <w:rPr>
                <w:rFonts w:hint="default" w:ascii="Times New Roman" w:hAnsi="Times New Roman" w:eastAsia="仿宋_GB2312" w:cs="Times New Roman"/>
                <w:color w:val="auto"/>
                <w:sz w:val="24"/>
                <w:szCs w:val="24"/>
                <w:lang w:val="en-US" w:eastAsia="zh-CN"/>
              </w:rPr>
              <w:t>实训。</w:t>
            </w:r>
          </w:p>
          <w:p w14:paraId="22FD703B">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4"/>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教学要求：学生需熟练掌握色彩基础理论与配色技巧，能够精准区分色彩层次、把控画面色调氛围；熟练</w:t>
            </w:r>
            <w:r>
              <w:rPr>
                <w:rFonts w:hint="eastAsia" w:ascii="Times New Roman" w:hAnsi="Times New Roman" w:eastAsia="仿宋_GB2312" w:cs="Times New Roman"/>
                <w:color w:val="auto"/>
                <w:sz w:val="24"/>
                <w:szCs w:val="24"/>
                <w:lang w:val="en-US" w:eastAsia="zh-CN"/>
              </w:rPr>
              <w:t>掌握水粉相关画具的使用，能够</w:t>
            </w:r>
            <w:r>
              <w:rPr>
                <w:rFonts w:hint="default" w:ascii="Times New Roman" w:hAnsi="Times New Roman" w:eastAsia="仿宋_GB2312" w:cs="Times New Roman"/>
                <w:color w:val="auto"/>
                <w:sz w:val="24"/>
                <w:szCs w:val="24"/>
                <w:lang w:val="en-US" w:eastAsia="zh-CN"/>
              </w:rPr>
              <w:t>独立完成色彩</w:t>
            </w:r>
            <w:r>
              <w:rPr>
                <w:rFonts w:hint="eastAsia" w:ascii="Times New Roman" w:hAnsi="Times New Roman" w:eastAsia="仿宋_GB2312" w:cs="Times New Roman"/>
                <w:color w:val="auto"/>
                <w:sz w:val="24"/>
                <w:szCs w:val="24"/>
                <w:lang w:val="en-US" w:eastAsia="zh-CN"/>
              </w:rPr>
              <w:t>静物</w:t>
            </w:r>
            <w:r>
              <w:rPr>
                <w:rFonts w:hint="default" w:ascii="Times New Roman" w:hAnsi="Times New Roman" w:eastAsia="仿宋_GB2312" w:cs="Times New Roman"/>
                <w:color w:val="auto"/>
                <w:sz w:val="24"/>
                <w:szCs w:val="24"/>
                <w:lang w:val="en-US" w:eastAsia="zh-CN"/>
              </w:rPr>
              <w:t>作品</w:t>
            </w:r>
            <w:r>
              <w:rPr>
                <w:rFonts w:hint="eastAsia" w:ascii="Times New Roman" w:hAnsi="Times New Roman" w:eastAsia="仿宋_GB2312" w:cs="Times New Roman"/>
                <w:color w:val="auto"/>
                <w:sz w:val="24"/>
                <w:szCs w:val="24"/>
                <w:lang w:val="en-US" w:eastAsia="zh-CN"/>
              </w:rPr>
              <w:t>，初步</w:t>
            </w:r>
            <w:r>
              <w:rPr>
                <w:rFonts w:hint="default" w:ascii="Times New Roman" w:hAnsi="Times New Roman" w:eastAsia="仿宋_GB2312" w:cs="Times New Roman"/>
                <w:color w:val="auto"/>
                <w:sz w:val="24"/>
                <w:szCs w:val="24"/>
                <w:lang w:val="en-US" w:eastAsia="zh-CN"/>
              </w:rPr>
              <w:t>形成色彩审美体系，掌握配色规范，满足岗位色彩创作需求。</w:t>
            </w:r>
          </w:p>
        </w:tc>
        <w:tc>
          <w:tcPr>
            <w:tcW w:w="584" w:type="pct"/>
            <w:vAlign w:val="center"/>
          </w:tcPr>
          <w:p w14:paraId="1D90036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5A757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1070" w:type="pct"/>
            <w:vAlign w:val="center"/>
          </w:tcPr>
          <w:p w14:paraId="7DAD0E3E">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设计构成</w:t>
            </w:r>
          </w:p>
        </w:tc>
        <w:tc>
          <w:tcPr>
            <w:tcW w:w="3345" w:type="pct"/>
            <w:vAlign w:val="center"/>
          </w:tcPr>
          <w:p w14:paraId="0DFA8C5E">
            <w:pPr>
              <w:pStyle w:val="14"/>
              <w:keepNext w:val="0"/>
              <w:keepLines w:val="0"/>
              <w:pageBreakBefore w:val="0"/>
              <w:widowControl w:val="0"/>
              <w:kinsoku/>
              <w:wordWrap/>
              <w:overflowPunct/>
              <w:topLinePunct w:val="0"/>
              <w:autoSpaceDE/>
              <w:autoSpaceDN/>
              <w:bidi w:val="0"/>
              <w:adjustRightInd/>
              <w:snapToGrid/>
              <w:spacing w:line="560" w:lineRule="exact"/>
              <w:ind w:left="0" w:right="102" w:hanging="2"/>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系统讲解三大构成核心知识，平面构成涵盖点、线、面基础元素，以及重复、渐变、对比、发射、肌理等构成形式；色彩构成深化色彩心理、色彩调和、主题配色设计；立体构成讲解空间结构、材质表现、立体造型法则。</w:t>
            </w:r>
          </w:p>
          <w:p w14:paraId="30952B44">
            <w:pPr>
              <w:pStyle w:val="14"/>
              <w:keepNext w:val="0"/>
              <w:keepLines w:val="0"/>
              <w:pageBreakBefore w:val="0"/>
              <w:widowControl w:val="0"/>
              <w:kinsoku/>
              <w:wordWrap/>
              <w:overflowPunct/>
              <w:topLinePunct w:val="0"/>
              <w:autoSpaceDE/>
              <w:autoSpaceDN/>
              <w:bidi w:val="0"/>
              <w:adjustRightInd/>
              <w:snapToGrid/>
              <w:spacing w:line="560" w:lineRule="exact"/>
              <w:ind w:left="0" w:right="102" w:hanging="2"/>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教学要求：学生需熟练掌握三大构成的理论体系与设计法则，具备独立进行视觉构图、版式设计、空间造型的能力；</w:t>
            </w:r>
            <w:r>
              <w:rPr>
                <w:rFonts w:hint="eastAsia" w:ascii="Times New Roman" w:hAnsi="Times New Roman" w:eastAsia="仿宋_GB2312" w:cs="Times New Roman"/>
                <w:color w:val="auto"/>
                <w:sz w:val="24"/>
                <w:szCs w:val="24"/>
                <w:lang w:val="en-US" w:eastAsia="zh-CN"/>
              </w:rPr>
              <w:t>后续</w:t>
            </w:r>
            <w:r>
              <w:rPr>
                <w:rFonts w:hint="default" w:ascii="Times New Roman" w:hAnsi="Times New Roman" w:eastAsia="仿宋_GB2312" w:cs="Times New Roman"/>
                <w:color w:val="auto"/>
                <w:sz w:val="24"/>
                <w:szCs w:val="24"/>
                <w:lang w:val="en-US" w:eastAsia="zh-CN"/>
              </w:rPr>
              <w:t>能够将构成知识灵活应用于原画、UI、动画、文创设计等各类创作场景，优化作品视觉层级与审美效果；具备基础商业视觉设计思维，适配岗位创作审美要求。</w:t>
            </w:r>
          </w:p>
        </w:tc>
        <w:tc>
          <w:tcPr>
            <w:tcW w:w="584" w:type="pct"/>
            <w:vAlign w:val="center"/>
          </w:tcPr>
          <w:p w14:paraId="29CEEFE7">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120</w:t>
            </w:r>
          </w:p>
        </w:tc>
      </w:tr>
      <w:tr w14:paraId="49B65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1070" w:type="pct"/>
            <w:vAlign w:val="center"/>
          </w:tcPr>
          <w:p w14:paraId="31FF9686">
            <w:pPr>
              <w:pStyle w:val="14"/>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 xml:space="preserve">     手绘插画</w:t>
            </w:r>
          </w:p>
        </w:tc>
        <w:tc>
          <w:tcPr>
            <w:tcW w:w="3345" w:type="pct"/>
            <w:vAlign w:val="center"/>
          </w:tcPr>
          <w:p w14:paraId="204B91FD">
            <w:pPr>
              <w:pStyle w:val="14"/>
              <w:keepNext w:val="0"/>
              <w:keepLines w:val="0"/>
              <w:pageBreakBefore w:val="0"/>
              <w:widowControl w:val="0"/>
              <w:kinsoku/>
              <w:wordWrap/>
              <w:overflowPunct/>
              <w:topLinePunct w:val="0"/>
              <w:autoSpaceDE/>
              <w:autoSpaceDN/>
              <w:bidi w:val="0"/>
              <w:adjustRightInd/>
              <w:snapToGrid/>
              <w:spacing w:line="560" w:lineRule="exact"/>
              <w:ind w:left="0" w:right="102" w:hanging="2"/>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系统讲解手绘插画基础理论、插画构图、人体动态、五官表情、服饰纹样、分镜草图等核心内容；涵盖速写快速造型、黑白线稿、马克笔手绘、水彩淡彩四类主流手绘表现技法；区分二次元、国风、民族插画三大手绘风格实训；专项开展广西壮锦、铜鼓、山水、少数民族人物等本土题材手绘创作训练；讲解商业手绘草图规范、插画修改迭代、手绘稿数字化扫描预处理流程；对接原画、分镜、文创草图前期手绘工作流程，为数字绘画、游戏原画、商业插画课程打牢手绘基础。</w:t>
            </w:r>
          </w:p>
          <w:p w14:paraId="577475C6">
            <w:pPr>
              <w:pStyle w:val="14"/>
              <w:keepNext w:val="0"/>
              <w:keepLines w:val="0"/>
              <w:pageBreakBefore w:val="0"/>
              <w:widowControl w:val="0"/>
              <w:kinsoku/>
              <w:wordWrap/>
              <w:overflowPunct/>
              <w:topLinePunct w:val="0"/>
              <w:autoSpaceDE/>
              <w:autoSpaceDN/>
              <w:bidi w:val="0"/>
              <w:adjustRightInd/>
              <w:snapToGrid/>
              <w:spacing w:line="560" w:lineRule="exact"/>
              <w:ind w:left="0" w:right="102" w:hanging="2"/>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熟练掌握速写抓形、流畅线稿绘制能力，能够快速完成角色、场景手绘草图；掌握多种手绘上色技法，可独立完成完整手绘插画习作；能结合广西非遗、民族元素进行原创手绘创作；手绘稿构图完整、造型准确、线条干净，符合行业前期设计草图标准，具备从手绘构思过渡到数位板数字创作的衔接能力。</w:t>
            </w:r>
          </w:p>
        </w:tc>
        <w:tc>
          <w:tcPr>
            <w:tcW w:w="584" w:type="pct"/>
            <w:vAlign w:val="center"/>
          </w:tcPr>
          <w:p w14:paraId="027B468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r>
      <w:tr w14:paraId="08173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1070" w:type="pct"/>
            <w:vAlign w:val="center"/>
          </w:tcPr>
          <w:p w14:paraId="4769ED2D">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图形图像处理</w:t>
            </w:r>
          </w:p>
        </w:tc>
        <w:tc>
          <w:tcPr>
            <w:tcW w:w="3345" w:type="pct"/>
            <w:vAlign w:val="center"/>
          </w:tcPr>
          <w:p w14:paraId="287714D0">
            <w:pPr>
              <w:pStyle w:val="14"/>
              <w:keepNext w:val="0"/>
              <w:keepLines w:val="0"/>
              <w:pageBreakBefore w:val="0"/>
              <w:widowControl w:val="0"/>
              <w:kinsoku/>
              <w:wordWrap/>
              <w:overflowPunct/>
              <w:topLinePunct w:val="0"/>
              <w:autoSpaceDE/>
              <w:autoSpaceDN/>
              <w:bidi w:val="0"/>
              <w:adjustRightInd/>
              <w:snapToGrid/>
              <w:spacing w:line="560" w:lineRule="exact"/>
              <w:ind w:right="102"/>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教学内容：全面讲解</w:t>
            </w:r>
            <w:r>
              <w:rPr>
                <w:rFonts w:hint="eastAsia" w:ascii="Times New Roman" w:hAnsi="Times New Roman" w:eastAsia="仿宋" w:cs="Times New Roman"/>
                <w:color w:val="auto"/>
                <w:sz w:val="24"/>
                <w:szCs w:val="24"/>
                <w:lang w:val="en-US" w:eastAsia="zh-CN"/>
              </w:rPr>
              <w:t>Photoshop</w:t>
            </w:r>
            <w:r>
              <w:rPr>
                <w:rFonts w:hint="default" w:ascii="Times New Roman" w:hAnsi="Times New Roman" w:eastAsia="仿宋_GB2312" w:cs="Times New Roman"/>
                <w:color w:val="auto"/>
                <w:sz w:val="24"/>
                <w:szCs w:val="24"/>
                <w:lang w:val="en-US" w:eastAsia="zh-CN"/>
              </w:rPr>
              <w:t>软件实操核心技能，涵盖软件基础设置、图层管理、蒙版、通道、滤镜、笔刷制作与导入、素材抠图与合成、图片精修、色彩校正等核心功能；结合专业岗位开展专项实训，包含游戏原画细化、三维贴图预处理、短视频封面设计、文创海报制作、商用素材规范处理等实操项目。</w:t>
            </w:r>
          </w:p>
          <w:p w14:paraId="700B2258">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8"/>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教学要求：学生需熟练掌握</w:t>
            </w:r>
            <w:r>
              <w:rPr>
                <w:rFonts w:hint="eastAsia" w:ascii="Times New Roman" w:hAnsi="Times New Roman" w:eastAsia="仿宋" w:cs="Times New Roman"/>
                <w:color w:val="auto"/>
                <w:sz w:val="24"/>
                <w:szCs w:val="24"/>
                <w:lang w:val="en-US" w:eastAsia="zh-CN"/>
              </w:rPr>
              <w:t>Photoshop</w:t>
            </w:r>
            <w:r>
              <w:rPr>
                <w:rFonts w:hint="default" w:ascii="Times New Roman" w:hAnsi="Times New Roman" w:eastAsia="仿宋_GB2312" w:cs="Times New Roman"/>
                <w:color w:val="auto"/>
                <w:sz w:val="24"/>
                <w:szCs w:val="24"/>
                <w:lang w:val="en-US" w:eastAsia="zh-CN"/>
              </w:rPr>
              <w:t>全流程实操技巧，精通各类工具的商业应用场景；能够独立完成原画优化</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视觉海报等专业作品；严格遵循商用素材版权规范与设计标准，熟练处理各类设计素材，具备高效、规范的平面图形处理能力，满足动漫游戏、新媒体文创岗位基础软件操作需求。</w:t>
            </w:r>
            <w:r>
              <w:rPr>
                <w:rFonts w:hint="eastAsia" w:ascii="Times New Roman" w:hAnsi="Times New Roman" w:eastAsia="仿宋_GB2312" w:cs="Times New Roman"/>
                <w:color w:val="auto"/>
                <w:sz w:val="24"/>
                <w:szCs w:val="24"/>
                <w:lang w:val="en-US" w:eastAsia="zh-CN"/>
              </w:rPr>
              <w:t>对接广西高等职业教育考试大纲（新闻传播大类）相关内容要求，培养学生相关应考能力。</w:t>
            </w:r>
          </w:p>
        </w:tc>
        <w:tc>
          <w:tcPr>
            <w:tcW w:w="584" w:type="pct"/>
            <w:vAlign w:val="center"/>
          </w:tcPr>
          <w:p w14:paraId="3C0116A3">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1D6A8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1070" w:type="pct"/>
            <w:shd w:val="clear" w:color="auto" w:fill="auto"/>
            <w:vAlign w:val="center"/>
          </w:tcPr>
          <w:p w14:paraId="34A5244D">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rPr>
              <w:t>AIGC基础与应用</w:t>
            </w:r>
          </w:p>
        </w:tc>
        <w:tc>
          <w:tcPr>
            <w:tcW w:w="3345" w:type="pct"/>
            <w:shd w:val="clear" w:color="auto" w:fill="auto"/>
            <w:vAlign w:val="top"/>
          </w:tcPr>
          <w:p w14:paraId="628D5BF7">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5"/>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教学内容</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AIGC 行业规范与版权法规，国产AI平台（文心一格、通义万相、即梦 AI</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lang w:val="en-US" w:eastAsia="zh-CN"/>
              </w:rPr>
              <w:t>可灵、豆包等</w:t>
            </w:r>
            <w:r>
              <w:rPr>
                <w:rFonts w:hint="eastAsia" w:ascii="Times New Roman" w:hAnsi="Times New Roman" w:eastAsia="仿宋_GB2312" w:cs="Times New Roman"/>
                <w:color w:val="auto"/>
                <w:sz w:val="24"/>
                <w:szCs w:val="24"/>
              </w:rPr>
              <w:t>）基础操作，中文提示词撰写、正负向关键词搭配技巧。文生图、图生图、线稿上色、局部重绘实操，生成游戏原画、场景概念、插画、贴图参考素材。</w:t>
            </w:r>
          </w:p>
          <w:p w14:paraId="7A31FA40">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5"/>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 xml:space="preserve">AI素材衔接 </w:t>
            </w:r>
            <w:r>
              <w:rPr>
                <w:rFonts w:hint="eastAsia" w:ascii="Times New Roman" w:hAnsi="Times New Roman" w:eastAsia="仿宋" w:cs="Times New Roman"/>
                <w:color w:val="auto"/>
                <w:sz w:val="24"/>
                <w:szCs w:val="24"/>
              </w:rPr>
              <w:t>Blender</w:t>
            </w:r>
            <w:r>
              <w:rPr>
                <w:rFonts w:hint="eastAsia" w:ascii="Times New Roman" w:hAnsi="Times New Roman" w:eastAsia="仿宋_GB2312" w:cs="Times New Roman"/>
                <w:color w:val="auto"/>
                <w:sz w:val="24"/>
                <w:szCs w:val="24"/>
              </w:rPr>
              <w:t xml:space="preserve"> 三维流程：AI 生成角色</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场景概念图</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导出线稿、纹理素材用于建模、贴图绘制课程。AI辅助短视频文案</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分镜脚本生成，结合广西非遗、</w:t>
            </w:r>
            <w:r>
              <w:rPr>
                <w:rFonts w:hint="eastAsia" w:ascii="Times New Roman" w:hAnsi="Times New Roman" w:eastAsia="仿宋_GB2312" w:cs="Times New Roman"/>
                <w:color w:val="auto"/>
                <w:sz w:val="24"/>
                <w:szCs w:val="24"/>
                <w:lang w:val="en-US" w:eastAsia="zh-CN"/>
              </w:rPr>
              <w:t>民族文化</w:t>
            </w:r>
            <w:r>
              <w:rPr>
                <w:rFonts w:hint="eastAsia" w:ascii="Times New Roman" w:hAnsi="Times New Roman" w:eastAsia="仿宋_GB2312" w:cs="Times New Roman"/>
                <w:color w:val="auto"/>
                <w:sz w:val="24"/>
                <w:szCs w:val="24"/>
              </w:rPr>
              <w:t>主题完成 AI 创意实训。AI素材二次人工优化，区分 AI 生成与原创创作边界，建立规范商用交付标准。</w:t>
            </w:r>
          </w:p>
          <w:p w14:paraId="5FD71D4D">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101" w:rightChars="0" w:hanging="5" w:firstLineChars="0"/>
              <w:textAlignment w:val="auto"/>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rPr>
              <w:t>教学要求</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熟练使用国内合规 AI 绘画工具，掌握中文提示词逻辑，独立产出动漫游戏风格参考图。打通 AI 创意 —Blender 建模 — 贴图绘制完整创作链路，用 AI 素材提升三维项目创作效率。能对AI生成素材手工精修优化</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rPr>
              <w:t>熟知AI创作版权、商用规范，树立以人工创作为核心、AI 工具为辅的创作思维。</w:t>
            </w:r>
          </w:p>
        </w:tc>
        <w:tc>
          <w:tcPr>
            <w:tcW w:w="584" w:type="pct"/>
            <w:shd w:val="clear" w:color="auto" w:fill="auto"/>
            <w:vAlign w:val="center"/>
          </w:tcPr>
          <w:p w14:paraId="35780B35">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lang w:val="en-US" w:eastAsia="zh-CN"/>
              </w:rPr>
              <w:t>80</w:t>
            </w:r>
          </w:p>
        </w:tc>
      </w:tr>
      <w:tr w14:paraId="2BC05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1070" w:type="pct"/>
            <w:shd w:val="clear" w:color="auto" w:fill="auto"/>
            <w:vAlign w:val="center"/>
          </w:tcPr>
          <w:p w14:paraId="61C24AE5">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lang w:val="en-US" w:eastAsia="zh-CN"/>
              </w:rPr>
              <w:t>游戏美术设计</w:t>
            </w:r>
          </w:p>
        </w:tc>
        <w:tc>
          <w:tcPr>
            <w:tcW w:w="3345" w:type="pct"/>
            <w:shd w:val="clear" w:color="auto" w:fill="auto"/>
            <w:vAlign w:val="center"/>
          </w:tcPr>
          <w:p w14:paraId="77A27867">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16"/>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讲解动漫游戏行业发展现状、岗位分类、美术设计行业标准与项目制作流程；重点学习游戏原画核心设计规范，包含角色、场景、道具三大类原画设计技巧，熟练掌握三视图、细节刻画、风格设定、氛围渲染等专业技能；细分二次元、国风、Q版</w:t>
            </w:r>
            <w:r>
              <w:rPr>
                <w:rFonts w:hint="eastAsia" w:ascii="Times New Roman" w:hAnsi="Times New Roman" w:eastAsia="仿宋_GB2312" w:cs="Times New Roman"/>
                <w:color w:val="auto"/>
                <w:sz w:val="24"/>
                <w:szCs w:val="24"/>
                <w:lang w:val="en-US" w:eastAsia="zh-CN"/>
              </w:rPr>
              <w:t>三</w:t>
            </w:r>
            <w:r>
              <w:rPr>
                <w:rFonts w:hint="default" w:ascii="Times New Roman" w:hAnsi="Times New Roman" w:eastAsia="仿宋_GB2312" w:cs="Times New Roman"/>
                <w:color w:val="auto"/>
                <w:sz w:val="24"/>
                <w:szCs w:val="24"/>
                <w:lang w:val="en-US" w:eastAsia="zh-CN"/>
              </w:rPr>
              <w:t>大主流游戏美术风格，针对性开展专项实训；结合广西文旅项目，开展本土特色游戏角色、文旅场景、非遗道具原画定制创作，对接企业真实项目需求。</w:t>
            </w:r>
          </w:p>
          <w:p w14:paraId="098FBADE">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102" w:rightChars="0" w:firstLine="16"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lang w:val="en-US" w:eastAsia="zh-CN"/>
              </w:rPr>
              <w:t>教学要求：学生需熟知游戏美术行业规范与项目制作流程，能够精准解读企业项目需求文档；熟练完成游戏角色、场景、道具原创原画设计，规范绘制标准三视图、细节效果图、氛围概念图；熟练驾驭多种主流美术风格，具备本土化文旅游戏原画创作能力，作品符合行业商用标准，具备独立承接基础原画设计项目的能力。</w:t>
            </w:r>
          </w:p>
        </w:tc>
        <w:tc>
          <w:tcPr>
            <w:tcW w:w="584" w:type="pct"/>
            <w:shd w:val="clear" w:color="auto" w:fill="auto"/>
            <w:vAlign w:val="center"/>
          </w:tcPr>
          <w:p w14:paraId="0498A6D3">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lang w:val="en-US" w:eastAsia="zh-CN"/>
              </w:rPr>
              <w:t>160</w:t>
            </w:r>
          </w:p>
        </w:tc>
      </w:tr>
      <w:tr w14:paraId="7AB7B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1070" w:type="pct"/>
            <w:vAlign w:val="center"/>
          </w:tcPr>
          <w:p w14:paraId="1906F0D6">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新闻学基础</w:t>
            </w:r>
          </w:p>
        </w:tc>
        <w:tc>
          <w:tcPr>
            <w:tcW w:w="3345" w:type="pct"/>
            <w:vAlign w:val="center"/>
          </w:tcPr>
          <w:p w14:paraId="72A49C32">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8"/>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新闻基础理论</w:t>
            </w:r>
            <w:r>
              <w:rPr>
                <w:rFonts w:hint="eastAsia" w:ascii="Times New Roman" w:hAnsi="Times New Roman" w:eastAsia="仿宋_GB2312" w:cs="Times New Roman"/>
                <w:color w:val="auto"/>
                <w:sz w:val="24"/>
                <w:szCs w:val="24"/>
                <w:lang w:val="en-US" w:eastAsia="zh-CN"/>
              </w:rPr>
              <w:t>，含</w:t>
            </w:r>
            <w:r>
              <w:rPr>
                <w:rFonts w:hint="default" w:ascii="Times New Roman" w:hAnsi="Times New Roman" w:eastAsia="仿宋_GB2312" w:cs="Times New Roman"/>
                <w:color w:val="auto"/>
                <w:sz w:val="24"/>
                <w:szCs w:val="24"/>
                <w:lang w:val="en-US" w:eastAsia="zh-CN"/>
              </w:rPr>
              <w:t>新闻本源、定义、特征；新闻真实内涵与准则；新闻价值要素与正向价值取向。媒体融合</w:t>
            </w:r>
            <w:r>
              <w:rPr>
                <w:rFonts w:hint="eastAsia" w:ascii="Times New Roman" w:hAnsi="Times New Roman" w:eastAsia="仿宋_GB2312" w:cs="Times New Roman"/>
                <w:color w:val="auto"/>
                <w:sz w:val="24"/>
                <w:szCs w:val="24"/>
                <w:lang w:val="en-US" w:eastAsia="zh-CN"/>
              </w:rPr>
              <w:t>，含</w:t>
            </w:r>
            <w:r>
              <w:rPr>
                <w:rFonts w:hint="default" w:ascii="Times New Roman" w:hAnsi="Times New Roman" w:eastAsia="仿宋_GB2312" w:cs="Times New Roman"/>
                <w:color w:val="auto"/>
                <w:sz w:val="24"/>
                <w:szCs w:val="24"/>
                <w:lang w:val="en-US" w:eastAsia="zh-CN"/>
              </w:rPr>
              <w:t>媒体发展历程、分类，新媒体融合思路与数字化创作手段。</w:t>
            </w:r>
          </w:p>
          <w:p w14:paraId="4D9B0B64">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8"/>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行业规范</w:t>
            </w:r>
            <w:r>
              <w:rPr>
                <w:rFonts w:hint="eastAsia" w:ascii="Times New Roman" w:hAnsi="Times New Roman" w:eastAsia="仿宋_GB2312" w:cs="Times New Roman"/>
                <w:color w:val="auto"/>
                <w:sz w:val="24"/>
                <w:szCs w:val="24"/>
                <w:lang w:val="en-US" w:eastAsia="zh-CN"/>
              </w:rPr>
              <w:t>，含</w:t>
            </w:r>
            <w:r>
              <w:rPr>
                <w:rFonts w:hint="default" w:ascii="Times New Roman" w:hAnsi="Times New Roman" w:eastAsia="仿宋_GB2312" w:cs="Times New Roman"/>
                <w:color w:val="auto"/>
                <w:sz w:val="24"/>
                <w:szCs w:val="24"/>
                <w:lang w:val="en-US" w:eastAsia="zh-CN"/>
              </w:rPr>
              <w:t>网络传播相关法规、新闻法治要求；社会主义新闻职业道德规范。传播与时政</w:t>
            </w:r>
            <w:r>
              <w:rPr>
                <w:rFonts w:hint="eastAsia" w:ascii="Times New Roman" w:hAnsi="Times New Roman" w:eastAsia="仿宋_GB2312" w:cs="Times New Roman"/>
                <w:color w:val="auto"/>
                <w:sz w:val="24"/>
                <w:szCs w:val="24"/>
                <w:lang w:val="en-US" w:eastAsia="zh-CN"/>
              </w:rPr>
              <w:t>，含</w:t>
            </w:r>
            <w:r>
              <w:rPr>
                <w:rFonts w:hint="default" w:ascii="Times New Roman" w:hAnsi="Times New Roman" w:eastAsia="仿宋_GB2312" w:cs="Times New Roman"/>
                <w:color w:val="auto"/>
                <w:sz w:val="24"/>
                <w:szCs w:val="24"/>
                <w:lang w:val="en-US" w:eastAsia="zh-CN"/>
              </w:rPr>
              <w:t>国际传播建设要求，依托视听内容讲好中国故事；近一年国家及广西时事政策、文旅产业热点。</w:t>
            </w:r>
          </w:p>
          <w:p w14:paraId="46429922">
            <w:pPr>
              <w:pStyle w:val="14"/>
              <w:keepNext w:val="0"/>
              <w:keepLines w:val="0"/>
              <w:pageBreakBefore w:val="0"/>
              <w:widowControl w:val="0"/>
              <w:kinsoku/>
              <w:wordWrap/>
              <w:overflowPunct/>
              <w:topLinePunct w:val="0"/>
              <w:autoSpaceDE/>
              <w:autoSpaceDN/>
              <w:bidi w:val="0"/>
              <w:adjustRightInd/>
              <w:snapToGrid/>
              <w:spacing w:line="560" w:lineRule="exact"/>
              <w:ind w:left="0" w:right="102" w:firstLine="8"/>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掌握新闻基础理论，树立真实客观的内容创作底线，把握正向创作价值导向。具备媒体融合思维，能结合动漫、短视频开展全媒体宣传内容创作。创作遵守法律法规与行业道德，杜绝虚假、侵权等问题。结合国、区时事，运用动画、视觉作品讲好中国与广西本土故事，胜任文创宣传、短视频文案策划相关岗位工作。</w:t>
            </w:r>
            <w:r>
              <w:rPr>
                <w:rFonts w:hint="eastAsia" w:ascii="Times New Roman" w:hAnsi="Times New Roman" w:eastAsia="仿宋_GB2312" w:cs="Times New Roman"/>
                <w:color w:val="auto"/>
                <w:sz w:val="24"/>
                <w:szCs w:val="24"/>
                <w:lang w:val="en-US" w:eastAsia="zh-CN"/>
              </w:rPr>
              <w:t>对接广西高等职业教育考试大纲（新闻传播大类）相关内容要求，培养学生相关应考能力。</w:t>
            </w:r>
          </w:p>
        </w:tc>
        <w:tc>
          <w:tcPr>
            <w:tcW w:w="584" w:type="pct"/>
            <w:vAlign w:val="center"/>
          </w:tcPr>
          <w:p w14:paraId="079D9808">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40</w:t>
            </w:r>
          </w:p>
        </w:tc>
      </w:tr>
    </w:tbl>
    <w:p w14:paraId="512F9DC4">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2.专业核心课程设置及要求</w:t>
      </w:r>
    </w:p>
    <w:tbl>
      <w:tblPr>
        <w:tblStyle w:val="15"/>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02"/>
        <w:gridCol w:w="6517"/>
        <w:gridCol w:w="1158"/>
      </w:tblGrid>
      <w:tr w14:paraId="594A3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075" w:type="pct"/>
            <w:vAlign w:val="center"/>
          </w:tcPr>
          <w:p w14:paraId="2BA007B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32" w:type="pct"/>
            <w:vAlign w:val="center"/>
          </w:tcPr>
          <w:p w14:paraId="5049F84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592" w:type="pct"/>
            <w:vAlign w:val="center"/>
          </w:tcPr>
          <w:p w14:paraId="7433E73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p>
          <w:p w14:paraId="33C389B5">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9"/>
                <w:sz w:val="24"/>
                <w:szCs w:val="24"/>
              </w:rPr>
              <w:t>学时</w:t>
            </w:r>
          </w:p>
        </w:tc>
      </w:tr>
      <w:tr w14:paraId="5FD26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jc w:val="center"/>
        </w:trPr>
        <w:tc>
          <w:tcPr>
            <w:tcW w:w="1075" w:type="pct"/>
            <w:vAlign w:val="center"/>
          </w:tcPr>
          <w:p w14:paraId="33134E50">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游戏界面制作</w:t>
            </w:r>
          </w:p>
        </w:tc>
        <w:tc>
          <w:tcPr>
            <w:tcW w:w="3332" w:type="pct"/>
            <w:vAlign w:val="top"/>
          </w:tcPr>
          <w:p w14:paraId="0F8A2E60">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2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容：系统讲解游戏UI设计行业规范、人机交互设计原理、移动端游戏视觉设计标准；核心实训内容包含游戏功能图标、装饰图标绘制，登录界面、主界面、背包界面、弹窗提示、技能面板、商城系统等全套手游界面设计；掌握控件布局、色彩适配、字体规范、动效视觉搭配，适配安卓、移动端小程序游戏多终端展示标准，学习分层工程文件规范输出、UI素材切片与打包流程。</w:t>
            </w:r>
          </w:p>
          <w:p w14:paraId="549D97BB">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2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要求：学生需熟练掌握游戏UI设计全流程技能，熟知手游视觉设计行业标准与交互逻辑；能够独立完成整套手游界面、图标、控件原创设计，画面风格统一、布局合理、适配终端展示；熟练输出规范分层工程文件与商用素材，作品符合游戏企业商用标准，具备基础游戏UI项目独立制作与优化能力。</w:t>
            </w:r>
          </w:p>
        </w:tc>
        <w:tc>
          <w:tcPr>
            <w:tcW w:w="592" w:type="pct"/>
            <w:vAlign w:val="center"/>
          </w:tcPr>
          <w:p w14:paraId="696E1367">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7E95A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6" w:hRule="atLeast"/>
          <w:jc w:val="center"/>
        </w:trPr>
        <w:tc>
          <w:tcPr>
            <w:tcW w:w="1075" w:type="pct"/>
            <w:vAlign w:val="center"/>
          </w:tcPr>
          <w:p w14:paraId="3A92458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影视后期编辑（Pr、AE)</w:t>
            </w:r>
          </w:p>
        </w:tc>
        <w:tc>
          <w:tcPr>
            <w:tcW w:w="3332" w:type="pct"/>
            <w:vAlign w:val="top"/>
          </w:tcPr>
          <w:p w14:paraId="2D07636E">
            <w:pPr>
              <w:pStyle w:val="14"/>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容：分模块讲授影视后期核心软件实操，Premiere模块重点学习素材剪辑、轨道编辑、字幕制作、音频处理、色彩调色、视频导出、成片拼接；AE模块重点讲解关键帧动画、图层合成、粒子特效、光影特效、MG动态包装、片头片尾制作、短视频特效优化；结合专业开展动漫短片剪辑、游戏宣传短片包装、广西文旅短视频制作、文创作品展示成片等专项实训，掌握行业成片输出标准。</w:t>
            </w:r>
          </w:p>
          <w:p w14:paraId="2B9E2FF5">
            <w:pPr>
              <w:pStyle w:val="14"/>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要求：学生需熟练掌握Pr、AE两款核心软件的全流程实操，能够独立完成素材筛选、剪辑、调色、特效合成、字幕包装、成片输出；可独立制作5-10分钟原创动画短片、游戏宣传视频、文旅短视频，成片画面流畅、特效自然、节奏合理，符合新媒体与影视行业成片制作规范。</w:t>
            </w:r>
          </w:p>
        </w:tc>
        <w:tc>
          <w:tcPr>
            <w:tcW w:w="592" w:type="pct"/>
            <w:vAlign w:val="center"/>
          </w:tcPr>
          <w:p w14:paraId="59DBE49F">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120</w:t>
            </w:r>
          </w:p>
        </w:tc>
      </w:tr>
      <w:tr w14:paraId="594F1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1075" w:type="pct"/>
            <w:vAlign w:val="center"/>
          </w:tcPr>
          <w:p w14:paraId="290B8C78">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二维动画制作</w:t>
            </w:r>
          </w:p>
        </w:tc>
        <w:tc>
          <w:tcPr>
            <w:tcW w:w="3332" w:type="pct"/>
            <w:vAlign w:val="top"/>
          </w:tcPr>
          <w:p w14:paraId="2E21887E">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7"/>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内容：系统讲解二维动画基础原理、运动规律；依托</w:t>
            </w:r>
            <w:r>
              <w:rPr>
                <w:rFonts w:hint="eastAsia" w:ascii="Times New Roman" w:hAnsi="Times New Roman" w:eastAsia="仿宋" w:cs="Times New Roman"/>
                <w:color w:val="auto"/>
                <w:sz w:val="24"/>
                <w:szCs w:val="24"/>
                <w:lang w:val="en-US" w:eastAsia="zh-CN"/>
              </w:rPr>
              <w:t>Animate</w:t>
            </w:r>
            <w:r>
              <w:rPr>
                <w:rFonts w:hint="default" w:ascii="Times New Roman" w:hAnsi="Times New Roman" w:eastAsia="仿宋_GB2312" w:cs="Times New Roman"/>
                <w:color w:val="auto"/>
                <w:sz w:val="24"/>
                <w:szCs w:val="24"/>
                <w:lang w:val="en-US" w:eastAsia="zh-CN"/>
              </w:rPr>
              <w:t>软件开展实训，涵盖逐帧动画、关键帧动画、骨骼绑定动画、形变动画、路径动画制作；重点训练人物走、跑、跳、待机基础运动规律，动漫表情动画、场景动态特效、分镜头短片制作、GIF动态插画、短视频动态素材创作；结合广西民族文化，制作非遗主题、文旅宣传原创二维动画短片。</w:t>
            </w:r>
          </w:p>
          <w:p w14:paraId="05C0E5AD">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7"/>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要求：学生需熟练掌握二维动画制作全流程，吃透动画运动规律，解决动作卡顿、形变失真等常见问题；能够独立完成1分钟以上原创二维动画短片、动态插画作品；熟练掌握原画绘制、中间帧补画、动检优化、成片导出全流程，作品动作流畅、画面完整，符合二维动画行业制作标准。</w:t>
            </w:r>
          </w:p>
        </w:tc>
        <w:tc>
          <w:tcPr>
            <w:tcW w:w="592" w:type="pct"/>
            <w:vAlign w:val="center"/>
          </w:tcPr>
          <w:p w14:paraId="5716251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2C12F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1075" w:type="pct"/>
            <w:vAlign w:val="center"/>
          </w:tcPr>
          <w:p w14:paraId="395AB198">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三维建模</w:t>
            </w:r>
          </w:p>
        </w:tc>
        <w:tc>
          <w:tcPr>
            <w:tcW w:w="3332" w:type="pct"/>
            <w:vAlign w:val="top"/>
          </w:tcPr>
          <w:p w14:paraId="260526B9">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内容：以</w:t>
            </w:r>
            <w:r>
              <w:rPr>
                <w:rFonts w:hint="eastAsia" w:ascii="Times New Roman" w:hAnsi="Times New Roman" w:eastAsia="仿宋" w:cs="Times New Roman"/>
                <w:color w:val="auto"/>
                <w:sz w:val="24"/>
                <w:szCs w:val="24"/>
                <w:lang w:val="en-US" w:eastAsia="zh-CN"/>
              </w:rPr>
              <w:t>Blender</w:t>
            </w:r>
            <w:r>
              <w:rPr>
                <w:rFonts w:hint="default" w:ascii="Times New Roman" w:hAnsi="Times New Roman" w:eastAsia="仿宋_GB2312" w:cs="Times New Roman"/>
                <w:color w:val="auto"/>
                <w:sz w:val="24"/>
                <w:szCs w:val="24"/>
                <w:lang w:val="en-US" w:eastAsia="zh-CN"/>
              </w:rPr>
              <w:t>软件为核心，系统讲授三维建模基础操作、界面功能、工具运用；分模块学习低模、高模制作技巧，涵盖游戏道具、场景建筑、Q版角色、写实人物建模；重点掌握行业标准布线规范、模型精简优化、UV拆分、UV展开、模型烘焙等核心技能；结合游戏行业面数标准，适配手游、端游不同模型制作要求，开展广西文旅场景、非遗道具三维建模专项实训。</w:t>
            </w:r>
          </w:p>
          <w:p w14:paraId="498863E8">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要求：学生需熟练掌握三维建模全流程操作，严格遵循游戏模型布线规范和面数标准；能够独立完成游戏道具、角色、场景三维模型制作与UV拆分优化；模型结构精准、布线规整、无冗余面数，适配游戏引擎导入使用标准，具备独立完成基础游戏三维模型项目的能力。</w:t>
            </w:r>
          </w:p>
        </w:tc>
        <w:tc>
          <w:tcPr>
            <w:tcW w:w="592" w:type="pct"/>
            <w:vAlign w:val="center"/>
          </w:tcPr>
          <w:p w14:paraId="6685196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1EE92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1075" w:type="pct"/>
            <w:vAlign w:val="center"/>
          </w:tcPr>
          <w:p w14:paraId="1025DD3B">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贴图绘制</w:t>
            </w:r>
          </w:p>
        </w:tc>
        <w:tc>
          <w:tcPr>
            <w:tcW w:w="3332" w:type="pct"/>
            <w:vAlign w:val="top"/>
          </w:tcPr>
          <w:p w14:paraId="08F1D7FD">
            <w:pPr>
              <w:pStyle w:val="14"/>
              <w:keepNext w:val="0"/>
              <w:keepLines w:val="0"/>
              <w:pageBreakBefore w:val="0"/>
              <w:widowControl w:val="0"/>
              <w:kinsoku/>
              <w:wordWrap/>
              <w:overflowPunct/>
              <w:topLinePunct w:val="0"/>
              <w:autoSpaceDE/>
              <w:autoSpaceDN/>
              <w:bidi w:val="0"/>
              <w:adjustRightInd/>
              <w:snapToGrid/>
              <w:spacing w:line="560" w:lineRule="exact"/>
              <w:ind w:left="0" w:right="36" w:hanging="2"/>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w:t>
            </w:r>
            <w:r>
              <w:rPr>
                <w:rFonts w:hint="eastAsia" w:ascii="Times New Roman" w:hAnsi="Times New Roman" w:eastAsia="仿宋_GB2312"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 xml:space="preserve">Blender </w:t>
            </w:r>
            <w:r>
              <w:rPr>
                <w:rFonts w:hint="default" w:ascii="Times New Roman" w:hAnsi="Times New Roman" w:eastAsia="仿宋_GB2312" w:cs="Times New Roman"/>
                <w:color w:val="auto"/>
                <w:sz w:val="24"/>
                <w:szCs w:val="24"/>
                <w:lang w:val="en-US" w:eastAsia="zh-CN"/>
              </w:rPr>
              <w:t>模型预处理</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 xml:space="preserve">模型规整、UV 拆分、高低模烘焙，输出适配 </w:t>
            </w:r>
            <w:r>
              <w:rPr>
                <w:rFonts w:hint="eastAsia" w:ascii="Times New Roman" w:hAnsi="Times New Roman" w:eastAsia="仿宋" w:cs="Times New Roman"/>
                <w:color w:val="auto"/>
                <w:sz w:val="24"/>
                <w:szCs w:val="24"/>
                <w:lang w:val="en-US" w:eastAsia="zh-CN"/>
              </w:rPr>
              <w:t>SP</w:t>
            </w:r>
            <w:r>
              <w:rPr>
                <w:rFonts w:hint="default" w:ascii="Times New Roman" w:hAnsi="Times New Roman" w:eastAsia="仿宋_GB2312" w:cs="Times New Roman"/>
                <w:color w:val="auto"/>
                <w:sz w:val="24"/>
                <w:szCs w:val="24"/>
                <w:lang w:val="en-US" w:eastAsia="zh-CN"/>
              </w:rPr>
              <w:t xml:space="preserve"> 的模型与基础烘焙贴图。</w:t>
            </w:r>
            <w:r>
              <w:rPr>
                <w:rFonts w:hint="eastAsia" w:ascii="Times New Roman" w:hAnsi="Times New Roman" w:eastAsia="仿宋" w:cs="Times New Roman"/>
                <w:color w:val="auto"/>
                <w:sz w:val="24"/>
                <w:szCs w:val="24"/>
                <w:lang w:val="en-US" w:eastAsia="zh-CN"/>
              </w:rPr>
              <w:t xml:space="preserve">PBR </w:t>
            </w:r>
            <w:r>
              <w:rPr>
                <w:rFonts w:hint="default" w:ascii="Times New Roman" w:hAnsi="Times New Roman" w:eastAsia="仿宋_GB2312" w:cs="Times New Roman"/>
                <w:color w:val="auto"/>
                <w:sz w:val="24"/>
                <w:szCs w:val="24"/>
                <w:lang w:val="en-US" w:eastAsia="zh-CN"/>
              </w:rPr>
              <w:t>材质基础：金属粗糙度流程，固有色、法线、金属、粗糙度、AO 等贴图通道功能，区分写实、二次元两种美术风格。</w:t>
            </w:r>
            <w:r>
              <w:rPr>
                <w:rFonts w:hint="eastAsia" w:ascii="Times New Roman" w:hAnsi="Times New Roman" w:eastAsia="仿宋" w:cs="Times New Roman"/>
                <w:color w:val="auto"/>
                <w:sz w:val="24"/>
                <w:szCs w:val="24"/>
                <w:lang w:val="en-US" w:eastAsia="zh-CN"/>
              </w:rPr>
              <w:t>Substance Painter</w:t>
            </w:r>
            <w:r>
              <w:rPr>
                <w:rFonts w:hint="default" w:ascii="Times New Roman" w:hAnsi="Times New Roman" w:eastAsia="仿宋_GB2312" w:cs="Times New Roman"/>
                <w:color w:val="auto"/>
                <w:sz w:val="24"/>
                <w:szCs w:val="24"/>
                <w:lang w:val="en-US" w:eastAsia="zh-CN"/>
              </w:rPr>
              <w:t xml:space="preserve"> 贴图实操：智能材质、图层手绘、各类材质纹理刻画，完成角色、道具、广西文旅非遗模型贴图实训。贴图回导</w:t>
            </w:r>
            <w:r>
              <w:rPr>
                <w:rFonts w:hint="eastAsia" w:ascii="Times New Roman" w:hAnsi="Times New Roman" w:eastAsia="仿宋" w:cs="Times New Roman"/>
                <w:color w:val="auto"/>
                <w:sz w:val="24"/>
                <w:szCs w:val="24"/>
                <w:lang w:val="en-US" w:eastAsia="zh-CN"/>
              </w:rPr>
              <w:t xml:space="preserve"> Blender</w:t>
            </w:r>
            <w:r>
              <w:rPr>
                <w:rFonts w:hint="default" w:ascii="Times New Roman" w:hAnsi="Times New Roman" w:eastAsia="仿宋_GB2312" w:cs="Times New Roman"/>
                <w:color w:val="auto"/>
                <w:sz w:val="24"/>
                <w:szCs w:val="24"/>
                <w:lang w:val="en-US" w:eastAsia="zh-CN"/>
              </w:rPr>
              <w:t>：材质节点搭建、纹理调试，解决动画渲染纹理拉伸、闪烁等问题。行业输出规范：按动画、手游标准设置贴图尺寸、格式、文件命名。</w:t>
            </w:r>
          </w:p>
          <w:p w14:paraId="5C5C2BB7">
            <w:pPr>
              <w:pStyle w:val="14"/>
              <w:keepNext w:val="0"/>
              <w:keepLines w:val="0"/>
              <w:pageBreakBefore w:val="0"/>
              <w:widowControl w:val="0"/>
              <w:kinsoku/>
              <w:wordWrap/>
              <w:overflowPunct/>
              <w:topLinePunct w:val="0"/>
              <w:autoSpaceDE/>
              <w:autoSpaceDN/>
              <w:bidi w:val="0"/>
              <w:adjustRightInd/>
              <w:snapToGrid/>
              <w:spacing w:line="560" w:lineRule="exact"/>
              <w:ind w:left="0" w:right="36" w:hanging="2"/>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 xml:space="preserve">熟练打通 </w:t>
            </w:r>
            <w:r>
              <w:rPr>
                <w:rFonts w:hint="eastAsia" w:ascii="Times New Roman" w:hAnsi="Times New Roman" w:eastAsia="仿宋" w:cs="Times New Roman"/>
                <w:color w:val="auto"/>
                <w:sz w:val="24"/>
                <w:szCs w:val="24"/>
                <w:lang w:val="en-US" w:eastAsia="zh-CN"/>
              </w:rPr>
              <w:t>Blender</w:t>
            </w:r>
            <w:r>
              <w:rPr>
                <w:rFonts w:hint="default" w:ascii="Times New Roman" w:hAnsi="Times New Roman" w:eastAsia="仿宋_GB2312" w:cs="Times New Roman"/>
                <w:color w:val="auto"/>
                <w:sz w:val="24"/>
                <w:szCs w:val="24"/>
                <w:lang w:val="en-US" w:eastAsia="zh-CN"/>
              </w:rPr>
              <w:t xml:space="preserve"> 建模 — 烘焙 —</w:t>
            </w:r>
            <w:r>
              <w:rPr>
                <w:rFonts w:hint="eastAsia" w:ascii="Times New Roman" w:hAnsi="Times New Roman" w:eastAsia="仿宋" w:cs="Times New Roman"/>
                <w:color w:val="auto"/>
                <w:sz w:val="24"/>
                <w:szCs w:val="24"/>
                <w:lang w:val="en-US" w:eastAsia="zh-CN"/>
              </w:rPr>
              <w:t>SP</w:t>
            </w:r>
            <w:r>
              <w:rPr>
                <w:rFonts w:hint="default" w:ascii="Times New Roman" w:hAnsi="Times New Roman" w:eastAsia="仿宋_GB2312" w:cs="Times New Roman"/>
                <w:color w:val="auto"/>
                <w:sz w:val="24"/>
                <w:szCs w:val="24"/>
                <w:lang w:val="en-US" w:eastAsia="zh-CN"/>
              </w:rPr>
              <w:t xml:space="preserve"> 贴图 —</w:t>
            </w:r>
            <w:r>
              <w:rPr>
                <w:rFonts w:hint="eastAsia" w:ascii="Times New Roman" w:hAnsi="Times New Roman" w:eastAsia="仿宋" w:cs="Times New Roman"/>
                <w:color w:val="auto"/>
                <w:sz w:val="24"/>
                <w:szCs w:val="24"/>
                <w:lang w:val="en-US" w:eastAsia="zh-CN"/>
              </w:rPr>
              <w:t>Blender</w:t>
            </w:r>
            <w:r>
              <w:rPr>
                <w:rFonts w:hint="default" w:ascii="Times New Roman" w:hAnsi="Times New Roman" w:eastAsia="仿宋_GB2312" w:cs="Times New Roman"/>
                <w:color w:val="auto"/>
                <w:sz w:val="24"/>
                <w:szCs w:val="24"/>
                <w:lang w:val="en-US" w:eastAsia="zh-CN"/>
              </w:rPr>
              <w:t xml:space="preserve"> 材质调试全流程。独立完成角色、道具全套 </w:t>
            </w:r>
            <w:r>
              <w:rPr>
                <w:rFonts w:hint="eastAsia" w:ascii="Times New Roman" w:hAnsi="Times New Roman" w:eastAsia="仿宋" w:cs="Times New Roman"/>
                <w:color w:val="auto"/>
                <w:sz w:val="24"/>
                <w:szCs w:val="24"/>
                <w:lang w:val="en-US" w:eastAsia="zh-CN"/>
              </w:rPr>
              <w:t>PBR</w:t>
            </w:r>
            <w:r>
              <w:rPr>
                <w:rFonts w:hint="default" w:ascii="Times New Roman" w:hAnsi="Times New Roman" w:eastAsia="仿宋_GB2312" w:cs="Times New Roman"/>
                <w:color w:val="auto"/>
                <w:sz w:val="24"/>
                <w:szCs w:val="24"/>
                <w:lang w:val="en-US" w:eastAsia="zh-CN"/>
              </w:rPr>
              <w:t xml:space="preserve"> 贴图，精准还原各类材质质感。根据三维动画镜头优化贴图，保证渲染画面纹理清晰稳定。严格遵循行业资源输出规范，作品可直接用于动画短片、游戏项目交付。可结合广西民族纹样、文旅元素完成特色模型纹理创作。</w:t>
            </w:r>
          </w:p>
        </w:tc>
        <w:tc>
          <w:tcPr>
            <w:tcW w:w="592" w:type="pct"/>
            <w:vAlign w:val="top"/>
          </w:tcPr>
          <w:p w14:paraId="2B3111CF">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55E6EF8B">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2E7526E4">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437238B0">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3251D844">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6D3F04B5">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0EFC419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41B1A6B8">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4F0D046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5FCC584E">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48002BD4">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r>
      <w:tr w14:paraId="7F388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jc w:val="center"/>
        </w:trPr>
        <w:tc>
          <w:tcPr>
            <w:tcW w:w="1075" w:type="pct"/>
            <w:vAlign w:val="center"/>
          </w:tcPr>
          <w:p w14:paraId="19B8A455">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三维动画制作</w:t>
            </w:r>
          </w:p>
        </w:tc>
        <w:tc>
          <w:tcPr>
            <w:tcW w:w="3332" w:type="pct"/>
            <w:vAlign w:val="top"/>
          </w:tcPr>
          <w:p w14:paraId="5EF67F4A">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9"/>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教学内容</w:t>
            </w:r>
            <w:r>
              <w:rPr>
                <w:rFonts w:hint="eastAsia" w:ascii="Times New Roman" w:hAnsi="Times New Roman" w:eastAsia="仿宋_GB2312" w:cs="Times New Roman"/>
                <w:color w:val="auto"/>
                <w:sz w:val="24"/>
                <w:szCs w:val="24"/>
                <w:lang w:val="en-US" w:eastAsia="zh-CN"/>
              </w:rPr>
              <w:t>：</w:t>
            </w:r>
            <w:r>
              <w:rPr>
                <w:rFonts w:hint="eastAsia" w:ascii="Times New Roman" w:hAnsi="Times New Roman" w:eastAsia="仿宋" w:cs="Times New Roman"/>
                <w:color w:val="auto"/>
                <w:sz w:val="24"/>
                <w:szCs w:val="24"/>
                <w:lang w:val="en-US" w:eastAsia="zh-CN"/>
              </w:rPr>
              <w:t>Blender</w:t>
            </w:r>
            <w:r>
              <w:rPr>
                <w:rFonts w:hint="default" w:ascii="Times New Roman" w:hAnsi="Times New Roman" w:eastAsia="仿宋_GB2312" w:cs="Times New Roman"/>
                <w:color w:val="auto"/>
                <w:sz w:val="24"/>
                <w:szCs w:val="24"/>
                <w:lang w:val="en-US" w:eastAsia="zh-CN"/>
              </w:rPr>
              <w:t xml:space="preserve"> 模型、贴图素材导入整理，适配前期建模、贴图课程产出模型资源；模型骨骼绑定、权重绘制，完成角色基础骨架搭建；人物走、跑、跳、待机等循环动作制作，镜头运镜、场景动画调试；材质贴图光影匹配，修正动画渲染纹理闪烁、色差问题；短片渲染输出，结合</w:t>
            </w:r>
            <w:r>
              <w:rPr>
                <w:rFonts w:hint="eastAsia" w:ascii="Times New Roman" w:hAnsi="Times New Roman" w:eastAsia="仿宋_GB2312" w:cs="Times New Roman"/>
                <w:color w:val="auto"/>
                <w:sz w:val="24"/>
                <w:szCs w:val="24"/>
                <w:lang w:val="en-US" w:eastAsia="zh-CN"/>
              </w:rPr>
              <w:t>广西</w:t>
            </w:r>
            <w:r>
              <w:rPr>
                <w:rFonts w:hint="default" w:ascii="Times New Roman" w:hAnsi="Times New Roman" w:eastAsia="仿宋_GB2312" w:cs="Times New Roman"/>
                <w:color w:val="auto"/>
                <w:sz w:val="24"/>
                <w:szCs w:val="24"/>
                <w:lang w:val="en-US" w:eastAsia="zh-CN"/>
              </w:rPr>
              <w:t>本土文化题材完成小型三维动画实训。</w:t>
            </w:r>
          </w:p>
          <w:p w14:paraId="4FE01110">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9"/>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教学要求</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 xml:space="preserve">能直接使用前期课程 </w:t>
            </w:r>
            <w:r>
              <w:rPr>
                <w:rFonts w:hint="eastAsia" w:ascii="Times New Roman" w:hAnsi="Times New Roman" w:eastAsia="仿宋" w:cs="Times New Roman"/>
                <w:color w:val="auto"/>
                <w:sz w:val="24"/>
                <w:szCs w:val="24"/>
                <w:lang w:val="en-US" w:eastAsia="zh-CN"/>
              </w:rPr>
              <w:t xml:space="preserve">Blender </w:t>
            </w:r>
            <w:r>
              <w:rPr>
                <w:rFonts w:hint="default" w:ascii="Times New Roman" w:hAnsi="Times New Roman" w:eastAsia="仿宋_GB2312" w:cs="Times New Roman"/>
                <w:color w:val="auto"/>
                <w:sz w:val="24"/>
                <w:szCs w:val="24"/>
                <w:lang w:val="en-US" w:eastAsia="zh-CN"/>
              </w:rPr>
              <w:t xml:space="preserve">模型与 </w:t>
            </w:r>
            <w:r>
              <w:rPr>
                <w:rFonts w:hint="eastAsia" w:ascii="Times New Roman" w:hAnsi="Times New Roman" w:eastAsia="仿宋" w:cs="Times New Roman"/>
                <w:color w:val="auto"/>
                <w:sz w:val="24"/>
                <w:szCs w:val="24"/>
                <w:lang w:val="en-US" w:eastAsia="zh-CN"/>
              </w:rPr>
              <w:t xml:space="preserve">PBR </w:t>
            </w:r>
            <w:r>
              <w:rPr>
                <w:rFonts w:hint="default" w:ascii="Times New Roman" w:hAnsi="Times New Roman" w:eastAsia="仿宋_GB2312" w:cs="Times New Roman"/>
                <w:color w:val="auto"/>
                <w:sz w:val="24"/>
                <w:szCs w:val="24"/>
                <w:lang w:val="en-US" w:eastAsia="zh-CN"/>
              </w:rPr>
              <w:t>贴图开展动画制作，贯通三维全流程；独立完成角色绑定、基础循环动画，镜头画面流畅自然；合理调试贴图、材质参数，保障动画成片渲染效果；按行业标准输出完整三维短片，适配毕业设计、项目实训要求。</w:t>
            </w:r>
          </w:p>
        </w:tc>
        <w:tc>
          <w:tcPr>
            <w:tcW w:w="592" w:type="pct"/>
            <w:vAlign w:val="top"/>
          </w:tcPr>
          <w:p w14:paraId="62E54369">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6DE7ECD2">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21FC1D24">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681FBD33">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32DE7282">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1A740175">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641DA5D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120</w:t>
            </w:r>
          </w:p>
        </w:tc>
      </w:tr>
      <w:tr w14:paraId="060AC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1075" w:type="pct"/>
            <w:vAlign w:val="center"/>
          </w:tcPr>
          <w:p w14:paraId="5AD7444D">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插画设计</w:t>
            </w:r>
          </w:p>
        </w:tc>
        <w:tc>
          <w:tcPr>
            <w:tcW w:w="3332" w:type="pct"/>
            <w:vAlign w:val="top"/>
          </w:tcPr>
          <w:p w14:paraId="02D9B50E">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9"/>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教学</w:t>
            </w:r>
            <w:r>
              <w:rPr>
                <w:rFonts w:hint="default" w:ascii="Times New Roman" w:hAnsi="Times New Roman" w:eastAsia="仿宋_GB2312" w:cs="Times New Roman"/>
                <w:color w:val="auto"/>
                <w:sz w:val="24"/>
                <w:szCs w:val="24"/>
                <w:lang w:val="en-US" w:eastAsia="zh-CN"/>
              </w:rPr>
              <w:t>内容：全面讲解商业插画设计理论与创作技巧，涵盖构图、配色、造型、氛围营造等核心知识点；细分国潮插画、二次元插画、文创插画、绘本插画四大主流风格；重点开展广西非遗、壮锦文化、山水文旅、民族人物主题插画创作实训；学习商业插画接单规范、版式包装、作品输出与版权保护知识，掌握系列插画成套创作技巧。</w:t>
            </w:r>
          </w:p>
          <w:p w14:paraId="2A82BED2">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9"/>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教学</w:t>
            </w:r>
            <w:r>
              <w:rPr>
                <w:rFonts w:hint="default" w:ascii="Times New Roman" w:hAnsi="Times New Roman" w:eastAsia="仿宋_GB2312" w:cs="Times New Roman"/>
                <w:color w:val="auto"/>
                <w:sz w:val="24"/>
                <w:szCs w:val="24"/>
                <w:lang w:val="en-US" w:eastAsia="zh-CN"/>
              </w:rPr>
              <w:t>要求：学生需熟练掌握各类商业插画创作技法，具备独立原创插画设计能力；能够结合广西本土文化元素创作特色文创插画、海报插画、绘本作品；作品构图完整、配色美观、风格统一、贴合商业需求，熟知商用插画行业规范与版权要求，可独立承接基础插画商稿项目。</w:t>
            </w:r>
          </w:p>
        </w:tc>
        <w:tc>
          <w:tcPr>
            <w:tcW w:w="592" w:type="pct"/>
            <w:vAlign w:val="top"/>
          </w:tcPr>
          <w:p w14:paraId="3F54E357">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3798CF0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3C199260">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3E42AE5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280660B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2139889E">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24FC3543">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lang w:val="en-US" w:eastAsia="zh-CN"/>
              </w:rPr>
            </w:pPr>
          </w:p>
          <w:p w14:paraId="00ADF973">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1BD08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1075" w:type="pct"/>
            <w:shd w:val="clear" w:color="auto" w:fill="auto"/>
            <w:vAlign w:val="center"/>
          </w:tcPr>
          <w:p w14:paraId="42371D87">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101" w:rightChars="0" w:hanging="7" w:firstLineChars="0"/>
              <w:jc w:val="center"/>
              <w:textAlignment w:val="auto"/>
              <w:rPr>
                <w:rFonts w:hint="eastAsia" w:ascii="Times New Roman" w:hAnsi="Times New Roman" w:eastAsia="仿宋_GB2312" w:cs="Times New Roman"/>
                <w:color w:val="auto"/>
                <w:spacing w:val="-2"/>
                <w:kern w:val="2"/>
                <w:sz w:val="24"/>
                <w:szCs w:val="24"/>
                <w:lang w:val="en-US" w:eastAsia="zh-CN" w:bidi="ar-SA"/>
              </w:rPr>
            </w:pPr>
            <w:r>
              <w:rPr>
                <w:rFonts w:hint="eastAsia" w:ascii="Times New Roman" w:hAnsi="Times New Roman" w:eastAsia="仿宋_GB2312" w:cs="Times New Roman"/>
                <w:color w:val="auto"/>
                <w:spacing w:val="-2"/>
                <w:sz w:val="24"/>
                <w:szCs w:val="24"/>
                <w:lang w:val="en-US" w:eastAsia="zh-CN"/>
              </w:rPr>
              <w:t>游戏制作</w:t>
            </w:r>
          </w:p>
        </w:tc>
        <w:tc>
          <w:tcPr>
            <w:tcW w:w="3332" w:type="pct"/>
            <w:shd w:val="clear" w:color="auto" w:fill="auto"/>
            <w:vAlign w:val="center"/>
          </w:tcPr>
          <w:p w14:paraId="749B1B3C">
            <w:pPr>
              <w:pStyle w:val="14"/>
              <w:keepNext w:val="0"/>
              <w:keepLines w:val="0"/>
              <w:pageBreakBefore w:val="0"/>
              <w:widowControl w:val="0"/>
              <w:kinsoku/>
              <w:wordWrap/>
              <w:overflowPunct/>
              <w:topLinePunct w:val="0"/>
              <w:autoSpaceDE/>
              <w:autoSpaceDN/>
              <w:bidi w:val="0"/>
              <w:adjustRightInd/>
              <w:snapToGrid/>
              <w:spacing w:line="560" w:lineRule="exact"/>
              <w:ind w:left="0" w:right="24" w:firstLine="8"/>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教学</w:t>
            </w:r>
            <w:r>
              <w:rPr>
                <w:rFonts w:hint="eastAsia" w:ascii="Times New Roman" w:hAnsi="Times New Roman" w:eastAsia="仿宋_GB2312" w:cs="Times New Roman"/>
                <w:color w:val="auto"/>
                <w:sz w:val="24"/>
                <w:szCs w:val="24"/>
              </w:rPr>
              <w:t>内容：系统讲解游戏完整制作流程，涵盖游戏策划基础、游戏资源整合、场景搭建、资源导入、关卡设计、简单交互逻辑设置、游戏打包输出等核心内容；依托主流游戏引擎开展实训，整合前期原画、建模、贴图、动画课程成果，完成小型独立游戏、休闲手游demo制作；学习游戏项目团队分工、流程统筹、项目验收标准，结合广西</w:t>
            </w:r>
            <w:r>
              <w:rPr>
                <w:rFonts w:hint="eastAsia" w:ascii="Times New Roman" w:hAnsi="Times New Roman" w:eastAsia="仿宋_GB2312" w:cs="Times New Roman"/>
                <w:color w:val="auto"/>
                <w:sz w:val="24"/>
                <w:szCs w:val="24"/>
                <w:lang w:val="en-US" w:eastAsia="zh-CN"/>
              </w:rPr>
              <w:t>本土文化</w:t>
            </w:r>
            <w:r>
              <w:rPr>
                <w:rFonts w:hint="eastAsia" w:ascii="Times New Roman" w:hAnsi="Times New Roman" w:eastAsia="仿宋_GB2312" w:cs="Times New Roman"/>
                <w:color w:val="auto"/>
                <w:sz w:val="24"/>
                <w:szCs w:val="24"/>
              </w:rPr>
              <w:t>主题开展特色小游戏创作实训。</w:t>
            </w:r>
          </w:p>
          <w:p w14:paraId="661C7816">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24" w:rightChars="0" w:firstLine="8" w:firstLineChars="0"/>
              <w:jc w:val="left"/>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szCs w:val="24"/>
              </w:rPr>
              <w:t>要求：学生需熟练掌握游戏制作全流程规范，能够整合各类游戏美术资源，独立完成小型休闲游戏demo搭建、调试与输出；具备游戏项目团队协作、流程把控、问题排查能力，熟悉游戏行业项目交付标准，可独立完成基础小型游戏作品创作，适配游戏制作基础岗位需求。</w:t>
            </w:r>
          </w:p>
        </w:tc>
        <w:tc>
          <w:tcPr>
            <w:tcW w:w="592" w:type="pct"/>
            <w:shd w:val="clear" w:color="auto" w:fill="auto"/>
            <w:vAlign w:val="center"/>
          </w:tcPr>
          <w:p w14:paraId="6BFE5376">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p>
          <w:p w14:paraId="4A9FF7B2">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120</w:t>
            </w:r>
          </w:p>
          <w:p w14:paraId="23E0BD50">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_GB2312" w:cs="Times New Roman"/>
                <w:color w:val="auto"/>
                <w:kern w:val="2"/>
                <w:sz w:val="24"/>
                <w:szCs w:val="24"/>
                <w:lang w:val="en-US" w:eastAsia="zh-CN" w:bidi="ar-SA"/>
              </w:rPr>
            </w:pPr>
          </w:p>
        </w:tc>
      </w:tr>
    </w:tbl>
    <w:p w14:paraId="1CBBD922">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6"/>
          <w:sz w:val="30"/>
          <w:szCs w:val="30"/>
        </w:rPr>
        <w:t>3.专业拓展课程设置及要求</w:t>
      </w:r>
    </w:p>
    <w:tbl>
      <w:tblPr>
        <w:tblStyle w:val="15"/>
        <w:tblW w:w="501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95"/>
        <w:gridCol w:w="6380"/>
        <w:gridCol w:w="1206"/>
      </w:tblGrid>
      <w:tr w14:paraId="63FC7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122" w:type="pct"/>
            <w:vAlign w:val="center"/>
          </w:tcPr>
          <w:p w14:paraId="388482A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261" w:type="pct"/>
            <w:vAlign w:val="center"/>
          </w:tcPr>
          <w:p w14:paraId="19A9D1AB">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616" w:type="pct"/>
            <w:vAlign w:val="center"/>
          </w:tcPr>
          <w:p w14:paraId="644D0E7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p>
          <w:p w14:paraId="00D0E1D9">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9"/>
                <w:sz w:val="24"/>
                <w:szCs w:val="24"/>
              </w:rPr>
              <w:t>学时</w:t>
            </w:r>
          </w:p>
        </w:tc>
      </w:tr>
      <w:tr w14:paraId="4521F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1122" w:type="pct"/>
            <w:vAlign w:val="center"/>
          </w:tcPr>
          <w:p w14:paraId="145B225B">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摄影摄像</w:t>
            </w:r>
          </w:p>
        </w:tc>
        <w:tc>
          <w:tcPr>
            <w:tcW w:w="3261" w:type="pct"/>
            <w:vAlign w:val="center"/>
          </w:tcPr>
          <w:p w14:paraId="3CB620FB">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教学</w:t>
            </w:r>
            <w:r>
              <w:rPr>
                <w:rFonts w:hint="eastAsia" w:ascii="Times New Roman" w:hAnsi="Times New Roman" w:eastAsia="仿宋_GB2312" w:cs="Times New Roman"/>
                <w:color w:val="auto"/>
                <w:sz w:val="24"/>
                <w:szCs w:val="24"/>
              </w:rPr>
              <w:t>内容：系统讲解摄影摄像基础理论与实操技巧，包含相机参数调节、构图法则、光影布光、景深控制、画面运镜、收音技巧等核心知识；熟练掌握单反、运动相机操作方法；专项实训涵盖人物人像拍摄、场景风光取景、文创产品静物拍摄、短视频动态素材拍摄、校园及文旅实景取景，重点适配动漫游戏作品实拍素材、短视频创作素材采集需求。</w:t>
            </w:r>
          </w:p>
          <w:p w14:paraId="5FE9AD61">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要求：学生需熟练掌握摄影摄像全流程实操技能，能够根据创作需求精准调节设备参数、把控画面构图与光影；独立完成高清实景素材拍摄，画面清晰、构图美观、主题突出，采集的素材可直接用于后期剪辑、动画合成、作品包装，满足专业创作素材需求。</w:t>
            </w:r>
            <w:r>
              <w:rPr>
                <w:rFonts w:hint="eastAsia" w:ascii="Times New Roman" w:hAnsi="Times New Roman" w:eastAsia="仿宋_GB2312" w:cs="Times New Roman"/>
                <w:color w:val="auto"/>
                <w:sz w:val="24"/>
                <w:szCs w:val="24"/>
                <w:lang w:val="en-US" w:eastAsia="zh-CN"/>
              </w:rPr>
              <w:t>对接广西高等职业教育考试大纲（新闻传播大类）相关内容要求，培养学生相关应考能力。</w:t>
            </w:r>
          </w:p>
        </w:tc>
        <w:tc>
          <w:tcPr>
            <w:tcW w:w="616" w:type="pct"/>
            <w:vAlign w:val="center"/>
          </w:tcPr>
          <w:p w14:paraId="4D018561">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r>
      <w:tr w14:paraId="6AA0A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1122" w:type="pct"/>
            <w:vAlign w:val="center"/>
          </w:tcPr>
          <w:p w14:paraId="30149E1B">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短视频策划与制作</w:t>
            </w:r>
          </w:p>
        </w:tc>
        <w:tc>
          <w:tcPr>
            <w:tcW w:w="3261" w:type="pct"/>
            <w:vAlign w:val="top"/>
          </w:tcPr>
          <w:p w14:paraId="17779712">
            <w:pPr>
              <w:pStyle w:val="14"/>
              <w:keepNext w:val="0"/>
              <w:keepLines w:val="0"/>
              <w:pageBreakBefore w:val="0"/>
              <w:widowControl w:val="0"/>
              <w:kinsoku/>
              <w:wordWrap/>
              <w:overflowPunct/>
              <w:topLinePunct w:val="0"/>
              <w:autoSpaceDE/>
              <w:autoSpaceDN/>
              <w:bidi w:val="0"/>
              <w:adjustRightInd/>
              <w:snapToGrid/>
              <w:spacing w:line="560" w:lineRule="exact"/>
              <w:ind w:right="101"/>
              <w:jc w:val="both"/>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lang w:val="en-US" w:eastAsia="zh-CN"/>
              </w:rPr>
              <w:t>教学</w:t>
            </w:r>
            <w:r>
              <w:rPr>
                <w:rFonts w:hint="eastAsia" w:ascii="Times New Roman" w:hAnsi="Times New Roman" w:eastAsia="仿宋_GB2312" w:cs="Times New Roman"/>
                <w:color w:val="auto"/>
                <w:spacing w:val="-2"/>
                <w:sz w:val="24"/>
                <w:szCs w:val="24"/>
              </w:rPr>
              <w:t>内容：讲解短视频行业发展现状、平台规则、流量逻辑、账号定位与运营基础；系统学习短视频选题策划、脚本撰写、镜头设计、封面制作、文案包装、成片优化等全流程技能；重点实训文旅宣传短视频、游戏作品展示短视频、动漫创意短片、文创产品推广</w:t>
            </w:r>
            <w:r>
              <w:rPr>
                <w:rFonts w:hint="eastAsia" w:ascii="Times New Roman" w:hAnsi="Times New Roman" w:eastAsia="仿宋_GB2312" w:cs="Times New Roman"/>
                <w:color w:val="auto"/>
                <w:spacing w:val="-2"/>
                <w:sz w:val="24"/>
                <w:szCs w:val="24"/>
                <w:lang w:eastAsia="zh-CN"/>
              </w:rPr>
              <w:t>、</w:t>
            </w:r>
            <w:r>
              <w:rPr>
                <w:rFonts w:hint="eastAsia" w:ascii="Times New Roman" w:hAnsi="Times New Roman" w:eastAsia="仿宋_GB2312" w:cs="Times New Roman"/>
                <w:color w:val="auto"/>
                <w:spacing w:val="-2"/>
                <w:sz w:val="24"/>
                <w:szCs w:val="24"/>
                <w:lang w:val="en-US" w:eastAsia="zh-CN"/>
              </w:rPr>
              <w:t>公益广告</w:t>
            </w:r>
            <w:r>
              <w:rPr>
                <w:rFonts w:hint="eastAsia" w:ascii="Times New Roman" w:hAnsi="Times New Roman" w:eastAsia="仿宋_GB2312" w:cs="Times New Roman"/>
                <w:color w:val="auto"/>
                <w:spacing w:val="-2"/>
                <w:sz w:val="24"/>
                <w:szCs w:val="24"/>
              </w:rPr>
              <w:t>短视频创作，适配新媒体文创行业主流内容形式。</w:t>
            </w:r>
          </w:p>
          <w:p w14:paraId="1AFA39AC">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both"/>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要求：学生需熟练掌握短视频全流程策划与制作技能，具备独立选题、脚本创作、素材拍摄、后期剪辑、作品包装的综合能力；能够独立完成3条及以上原创优质短视频并完成平台发布，作品主题鲜明、节奏流畅、符合平台流量规则，适配新媒体文创岗位内容创作需求。</w:t>
            </w:r>
          </w:p>
        </w:tc>
        <w:tc>
          <w:tcPr>
            <w:tcW w:w="616" w:type="pct"/>
            <w:vAlign w:val="center"/>
          </w:tcPr>
          <w:p w14:paraId="71C618C2">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pacing w:val="-6"/>
                <w:position w:val="1"/>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100</w:t>
            </w:r>
          </w:p>
        </w:tc>
      </w:tr>
      <w:tr w14:paraId="5327B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1122" w:type="pct"/>
            <w:vAlign w:val="center"/>
          </w:tcPr>
          <w:p w14:paraId="6B2187F6">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泥塑</w:t>
            </w:r>
          </w:p>
          <w:p w14:paraId="538C25A4">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eastAsia" w:ascii="Times New Roman" w:hAnsi="Times New Roman" w:eastAsia="仿宋_GB2312" w:cs="Times New Roman"/>
                <w:color w:val="auto"/>
                <w:spacing w:val="-2"/>
                <w:sz w:val="24"/>
                <w:szCs w:val="24"/>
              </w:rPr>
            </w:pPr>
          </w:p>
        </w:tc>
        <w:tc>
          <w:tcPr>
            <w:tcW w:w="3261" w:type="pct"/>
            <w:vAlign w:val="top"/>
          </w:tcPr>
          <w:p w14:paraId="4523A432">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内容：系统讲解泥塑造型基础技法，包含黏土揉、捏、搓、压、拼接、塑形等基础操作；学习人体比例、五官结构、肢体动态塑造技巧，重点开展游戏Q版手办、文创小摆件泥塑创作；融入广西民族人物、非遗纹样泥塑造型实训，打通实体立体造型与数字三维建模的技能衔接。</w:t>
            </w:r>
          </w:p>
          <w:p w14:paraId="58AA14AA">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要求：学生需熟练掌握泥塑基础造型技法，精准把控物体比例、结构、动态；能够独立完成完整小型游戏角色、文创摆件泥塑原型制作；通过实体造型训练强化空间结构认知，提升三维建模造型精准度，实现实体创作与数字创作技能互补。</w:t>
            </w:r>
          </w:p>
        </w:tc>
        <w:tc>
          <w:tcPr>
            <w:tcW w:w="616" w:type="pct"/>
            <w:vAlign w:val="center"/>
          </w:tcPr>
          <w:p w14:paraId="785B9DB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p>
          <w:p w14:paraId="08A808F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40</w:t>
            </w:r>
          </w:p>
          <w:p w14:paraId="102AEB2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p>
        </w:tc>
      </w:tr>
    </w:tbl>
    <w:p w14:paraId="48C115C9">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4.综合实训课程设置及要求</w:t>
      </w:r>
    </w:p>
    <w:tbl>
      <w:tblPr>
        <w:tblStyle w:val="15"/>
        <w:tblW w:w="500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94"/>
        <w:gridCol w:w="6370"/>
        <w:gridCol w:w="1204"/>
      </w:tblGrid>
      <w:tr w14:paraId="11C7D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123" w:type="pct"/>
            <w:vAlign w:val="center"/>
          </w:tcPr>
          <w:p w14:paraId="2C9C1D30">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260" w:type="pct"/>
            <w:vAlign w:val="center"/>
          </w:tcPr>
          <w:p w14:paraId="1E3826AC">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616" w:type="pct"/>
            <w:vAlign w:val="center"/>
          </w:tcPr>
          <w:p w14:paraId="1BF8A036">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p>
          <w:p w14:paraId="0DA44DFF">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9"/>
                <w:sz w:val="24"/>
                <w:szCs w:val="24"/>
              </w:rPr>
              <w:t>学时</w:t>
            </w:r>
          </w:p>
        </w:tc>
      </w:tr>
      <w:tr w14:paraId="71093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1123" w:type="pct"/>
            <w:vAlign w:val="center"/>
          </w:tcPr>
          <w:p w14:paraId="6A228C7E">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default"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毕业设计</w:t>
            </w:r>
          </w:p>
        </w:tc>
        <w:tc>
          <w:tcPr>
            <w:tcW w:w="3260" w:type="pct"/>
            <w:vAlign w:val="center"/>
          </w:tcPr>
          <w:p w14:paraId="6A11AECE">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教学</w:t>
            </w:r>
            <w:r>
              <w:rPr>
                <w:rFonts w:hint="eastAsia" w:ascii="Times New Roman" w:hAnsi="Times New Roman" w:eastAsia="仿宋_GB2312" w:cs="Times New Roman"/>
                <w:color w:val="auto"/>
                <w:sz w:val="24"/>
                <w:szCs w:val="24"/>
              </w:rPr>
              <w:t>内容：结合个人专业特长与职业发展方向，自主选择游戏美术、二维动画、三维游戏、文创插画、影视后期</w:t>
            </w:r>
            <w:r>
              <w:rPr>
                <w:rFonts w:hint="eastAsia" w:ascii="Times New Roman" w:hAnsi="Times New Roman" w:eastAsia="仿宋_GB2312" w:cs="Times New Roman"/>
                <w:color w:val="auto"/>
                <w:sz w:val="24"/>
                <w:szCs w:val="24"/>
                <w:lang w:val="en-US" w:eastAsia="zh-CN"/>
              </w:rPr>
              <w:t>等</w:t>
            </w:r>
            <w:r>
              <w:rPr>
                <w:rFonts w:hint="eastAsia" w:ascii="Times New Roman" w:hAnsi="Times New Roman" w:eastAsia="仿宋_GB2312" w:cs="Times New Roman"/>
                <w:color w:val="auto"/>
                <w:sz w:val="24"/>
                <w:szCs w:val="24"/>
              </w:rPr>
              <w:t>任一方向确定毕业设计选题；系统完成作品创意策划、方案设计、素材创作、成品制作、细节优化、版式包装全过程；同步撰写完整设计说明书，包含创作思路、技术运用、设计亮点、行业适配分析、个人实训总结，最终整理成套个人求职专业作品集。</w:t>
            </w:r>
          </w:p>
          <w:p w14:paraId="6BF61563">
            <w:pPr>
              <w:pStyle w:val="14"/>
              <w:keepNext w:val="0"/>
              <w:keepLines w:val="0"/>
              <w:pageBreakBefore w:val="0"/>
              <w:widowControl w:val="0"/>
              <w:kinsoku/>
              <w:wordWrap/>
              <w:overflowPunct/>
              <w:topLinePunct w:val="0"/>
              <w:autoSpaceDE/>
              <w:autoSpaceDN/>
              <w:bidi w:val="0"/>
              <w:adjustRightInd/>
              <w:snapToGrid/>
              <w:spacing w:line="560" w:lineRule="exact"/>
              <w:ind w:left="0" w:right="101" w:firstLine="5"/>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要求：学生需独立完成全套毕业设计作品，作品主题鲜明、创意新颖、技术娴熟、符合行业商用标准；设计说明书内容完整、逻辑清晰、格式规范；作品集体系完整、风格统一，顺利通过专业答辩，具备求职、升学展示价值，全面检验三年专业学习成果。</w:t>
            </w:r>
          </w:p>
        </w:tc>
        <w:tc>
          <w:tcPr>
            <w:tcW w:w="616" w:type="pct"/>
            <w:vAlign w:val="center"/>
          </w:tcPr>
          <w:p w14:paraId="389D8CBA">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160</w:t>
            </w:r>
          </w:p>
        </w:tc>
      </w:tr>
      <w:tr w14:paraId="70E1A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1123" w:type="pct"/>
            <w:vAlign w:val="center"/>
          </w:tcPr>
          <w:p w14:paraId="42D373E7">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center"/>
              <w:textAlignment w:val="auto"/>
              <w:rPr>
                <w:rFonts w:hint="default"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岗位实习</w:t>
            </w:r>
          </w:p>
        </w:tc>
        <w:tc>
          <w:tcPr>
            <w:tcW w:w="3260" w:type="pct"/>
            <w:vAlign w:val="top"/>
          </w:tcPr>
          <w:p w14:paraId="12A56131">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both"/>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lang w:val="en-US" w:eastAsia="zh-CN"/>
              </w:rPr>
              <w:t>教学</w:t>
            </w:r>
            <w:r>
              <w:rPr>
                <w:rFonts w:hint="eastAsia" w:ascii="Times New Roman" w:hAnsi="Times New Roman" w:eastAsia="仿宋_GB2312" w:cs="Times New Roman"/>
                <w:color w:val="auto"/>
                <w:spacing w:val="-2"/>
                <w:sz w:val="24"/>
                <w:szCs w:val="24"/>
              </w:rPr>
              <w:t>内容：</w:t>
            </w:r>
            <w:r>
              <w:rPr>
                <w:rFonts w:hint="eastAsia" w:ascii="Times New Roman" w:hAnsi="Times New Roman" w:eastAsia="仿宋_GB2312" w:cs="Times New Roman"/>
                <w:color w:val="auto"/>
                <w:spacing w:val="-2"/>
                <w:sz w:val="24"/>
                <w:szCs w:val="24"/>
                <w:lang w:val="en-US" w:eastAsia="zh-CN"/>
              </w:rPr>
              <w:t>根据学校岗位实习安排，</w:t>
            </w:r>
            <w:r>
              <w:rPr>
                <w:rFonts w:hint="eastAsia" w:ascii="Times New Roman" w:hAnsi="Times New Roman" w:eastAsia="仿宋_GB2312" w:cs="Times New Roman"/>
                <w:color w:val="auto"/>
                <w:spacing w:val="-2"/>
                <w:sz w:val="24"/>
                <w:szCs w:val="24"/>
              </w:rPr>
              <w:t>学生</w:t>
            </w:r>
            <w:r>
              <w:rPr>
                <w:rFonts w:hint="eastAsia" w:ascii="Times New Roman" w:hAnsi="Times New Roman" w:eastAsia="仿宋_GB2312" w:cs="Times New Roman"/>
                <w:color w:val="auto"/>
                <w:spacing w:val="-2"/>
                <w:sz w:val="24"/>
                <w:szCs w:val="24"/>
                <w:lang w:val="en-US" w:eastAsia="zh-CN"/>
              </w:rPr>
              <w:t>可统一安排或自主联系</w:t>
            </w:r>
            <w:r>
              <w:rPr>
                <w:rFonts w:hint="eastAsia" w:ascii="Times New Roman" w:hAnsi="Times New Roman" w:eastAsia="仿宋_GB2312" w:cs="Times New Roman"/>
                <w:color w:val="auto"/>
                <w:spacing w:val="-2"/>
                <w:sz w:val="24"/>
                <w:szCs w:val="24"/>
              </w:rPr>
              <w:t>入驻广西本地游戏科技公司、动漫文创工作室、短视频MCN机构、文旅设计企业开展为期6个月顶岗实习，精准对接游戏原画、三维建模、贴图绘制、动画制作、影视后期、文创美工、短视频编导等专业岗位；参与企业日常项目制作、团队协作、岗位实操，接受企业导师一对一指导，熟悉企业管理制度、岗位工作流程、行业职场规范。</w:t>
            </w:r>
          </w:p>
          <w:p w14:paraId="6EB729A3">
            <w:pPr>
              <w:pStyle w:val="14"/>
              <w:keepNext w:val="0"/>
              <w:keepLines w:val="0"/>
              <w:pageBreakBefore w:val="0"/>
              <w:widowControl w:val="0"/>
              <w:kinsoku/>
              <w:wordWrap/>
              <w:overflowPunct/>
              <w:topLinePunct w:val="0"/>
              <w:autoSpaceDE/>
              <w:autoSpaceDN/>
              <w:bidi w:val="0"/>
              <w:adjustRightInd/>
              <w:snapToGrid/>
              <w:spacing w:line="560" w:lineRule="exact"/>
              <w:ind w:left="0" w:right="101" w:hanging="7"/>
              <w:jc w:val="both"/>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要求：学生需全程在岗完成实习任务，严格遵守企业规章制度，认真完成岗位实操工作，主动积累岗位经验；按时撰写实习日志、实习周报、实习总结，积极参与企业项目实践，顺利通过企业考核，获取合格实习鉴定，具备独立上岗工作能力。</w:t>
            </w:r>
          </w:p>
        </w:tc>
        <w:tc>
          <w:tcPr>
            <w:tcW w:w="616" w:type="pct"/>
            <w:vAlign w:val="center"/>
          </w:tcPr>
          <w:p w14:paraId="67CB0B02">
            <w:pPr>
              <w:pStyle w:val="14"/>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olor w:val="auto"/>
                <w:spacing w:val="-6"/>
                <w:position w:val="1"/>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600</w:t>
            </w:r>
          </w:p>
        </w:tc>
      </w:tr>
    </w:tbl>
    <w:p w14:paraId="403A44ED">
      <w:pPr>
        <w:keepNext w:val="0"/>
        <w:keepLines w:val="0"/>
        <w:pageBreakBefore w:val="0"/>
        <w:wordWrap/>
        <w:overflowPunct/>
        <w:topLinePunct w:val="0"/>
        <w:bidi w:val="0"/>
        <w:spacing w:line="540" w:lineRule="exact"/>
        <w:ind w:left="0"/>
        <w:outlineLvl w:val="0"/>
        <w:rPr>
          <w:rFonts w:hint="eastAsia" w:ascii="Times New Roman" w:hAnsi="Times New Roman" w:eastAsia="黑体" w:cs="Times New Roman"/>
          <w:b w:val="0"/>
          <w:bCs w:val="0"/>
          <w:color w:val="auto"/>
          <w:sz w:val="30"/>
          <w:szCs w:val="30"/>
          <w:lang w:val="en-US" w:eastAsia="zh-CN"/>
        </w:rPr>
      </w:pPr>
      <w:bookmarkStart w:id="23" w:name="_Toc2930"/>
      <w:r>
        <w:rPr>
          <w:rFonts w:hint="eastAsia" w:ascii="Times New Roman" w:hAnsi="Times New Roman" w:eastAsia="黑体" w:cs="Times New Roman"/>
          <w:b w:val="0"/>
          <w:bCs w:val="0"/>
          <w:color w:val="auto"/>
          <w:spacing w:val="5"/>
          <w:sz w:val="30"/>
          <w:szCs w:val="30"/>
        </w:rPr>
        <w:t>七、</w:t>
      </w:r>
      <w:r>
        <w:rPr>
          <w:rFonts w:hint="eastAsia" w:ascii="Times New Roman" w:hAnsi="Times New Roman" w:eastAsia="黑体" w:cs="Times New Roman"/>
          <w:b w:val="0"/>
          <w:bCs w:val="0"/>
          <w:color w:val="auto"/>
          <w:spacing w:val="5"/>
          <w:sz w:val="30"/>
          <w:szCs w:val="30"/>
          <w:lang w:val="en-US" w:eastAsia="zh-CN"/>
        </w:rPr>
        <w:t>教学进程总体安排</w:t>
      </w:r>
      <w:bookmarkEnd w:id="23"/>
    </w:p>
    <w:p w14:paraId="70D9E209">
      <w:pPr>
        <w:keepNext w:val="0"/>
        <w:keepLines w:val="0"/>
        <w:pageBreakBefore w:val="0"/>
        <w:numPr>
          <w:ilvl w:val="0"/>
          <w:numId w:val="0"/>
        </w:numPr>
        <w:wordWrap/>
        <w:overflowPunct/>
        <w:topLinePunct w:val="0"/>
        <w:bidi w:val="0"/>
        <w:spacing w:line="540" w:lineRule="exact"/>
        <w:ind w:leftChars="200"/>
        <w:outlineLvl w:val="0"/>
        <w:rPr>
          <w:rFonts w:hint="eastAsia" w:ascii="Times New Roman" w:hAnsi="Times New Roman" w:eastAsia="仿宋_GB2312" w:cs="Times New Roman"/>
          <w:b/>
          <w:bCs/>
          <w:color w:val="auto"/>
          <w:spacing w:val="5"/>
          <w:sz w:val="30"/>
          <w:szCs w:val="30"/>
          <w:lang w:val="en-US" w:eastAsia="zh-CN"/>
        </w:rPr>
      </w:pPr>
      <w:bookmarkStart w:id="24" w:name="_Toc2781"/>
      <w:r>
        <w:rPr>
          <w:rFonts w:hint="eastAsia" w:ascii="Times New Roman" w:hAnsi="Times New Roman" w:eastAsia="仿宋_GB2312" w:cs="Times New Roman"/>
          <w:b/>
          <w:bCs/>
          <w:color w:val="auto"/>
          <w:spacing w:val="5"/>
          <w:sz w:val="30"/>
          <w:szCs w:val="30"/>
          <w:lang w:val="en-US" w:eastAsia="zh-CN"/>
        </w:rPr>
        <w:t>（一）基本要求</w:t>
      </w:r>
      <w:bookmarkEnd w:id="24"/>
    </w:p>
    <w:p w14:paraId="59B5C7E4">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学年教学时间不少于 40 周，三年总学时数</w:t>
      </w:r>
      <w:r>
        <w:rPr>
          <w:rFonts w:hint="eastAsia" w:ascii="Times New Roman" w:hAnsi="Times New Roman" w:eastAsia="仿宋_GB2312" w:cs="Times New Roman"/>
          <w:color w:val="000000" w:themeColor="text1"/>
          <w:sz w:val="30"/>
          <w:szCs w:val="30"/>
          <w:highlight w:val="none"/>
          <w:lang w:val="en-US" w:eastAsia="zh-CN"/>
          <w14:textFill>
            <w14:solidFill>
              <w14:schemeClr w14:val="tx1"/>
            </w14:solidFill>
          </w14:textFill>
        </w:rPr>
        <w:t>3766</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学时，岗位实习按每周30学时安排； 学分与学时的换算：一般 16-20学时计为 1 个学分，总学分</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187.5</w:t>
      </w: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学分，军训、入学教育、社会实践、岗位实习、毕业设计（或毕业论文、毕业教育）等，以1周为1学分。</w:t>
      </w:r>
    </w:p>
    <w:p w14:paraId="625F4A6C">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公共基础课程学时一般占总学时的 1/3，必须保证学生修完公共基础必修课程的内容和总学时数。选修课教学时数占总学时的比例均应不少于 10%。</w:t>
      </w:r>
    </w:p>
    <w:p w14:paraId="2FC9056D">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学生顶岗实习一般为6个月，学校可根据实际情况，采取工学交替、多学期、分段式等多种形式组织实施。</w:t>
      </w:r>
    </w:p>
    <w:p w14:paraId="25DEE4FA">
      <w:pPr>
        <w:keepNext w:val="0"/>
        <w:keepLines w:val="0"/>
        <w:pageBreakBefore w:val="0"/>
        <w:numPr>
          <w:ilvl w:val="0"/>
          <w:numId w:val="0"/>
        </w:numPr>
        <w:wordWrap/>
        <w:overflowPunct/>
        <w:topLinePunct w:val="0"/>
        <w:bidi w:val="0"/>
        <w:spacing w:line="540" w:lineRule="exact"/>
        <w:ind w:leftChars="200"/>
        <w:outlineLvl w:val="0"/>
        <w:rPr>
          <w:rFonts w:hint="eastAsia" w:ascii="Times New Roman" w:hAnsi="Times New Roman" w:eastAsia="仿宋_GB2312" w:cs="Times New Roman"/>
          <w:b/>
          <w:bCs/>
          <w:color w:val="auto"/>
          <w:spacing w:val="5"/>
          <w:sz w:val="30"/>
          <w:szCs w:val="30"/>
          <w:lang w:val="en-US" w:eastAsia="zh-CN"/>
        </w:rPr>
      </w:pPr>
      <w:bookmarkStart w:id="25" w:name="_Toc24712"/>
      <w:r>
        <w:rPr>
          <w:rFonts w:hint="eastAsia" w:ascii="Times New Roman" w:hAnsi="Times New Roman" w:eastAsia="仿宋_GB2312" w:cs="Times New Roman"/>
          <w:b/>
          <w:bCs/>
          <w:color w:val="auto"/>
          <w:spacing w:val="5"/>
          <w:sz w:val="30"/>
          <w:szCs w:val="30"/>
          <w:lang w:val="en-US" w:eastAsia="zh-CN"/>
        </w:rPr>
        <w:t>（二）教学安排建议</w:t>
      </w:r>
      <w:bookmarkEnd w:id="25"/>
    </w:p>
    <w:p w14:paraId="2BD5D7E0">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pacing w:val="7"/>
          <w:sz w:val="30"/>
          <w:szCs w:val="30"/>
          <w:lang w:val="en-US" w:eastAsia="zh-CN"/>
        </w:rPr>
      </w:pPr>
      <w:r>
        <w:rPr>
          <w:rFonts w:hint="eastAsia" w:ascii="Times New Roman" w:hAnsi="Times New Roman" w:eastAsia="仿宋_GB2312" w:cs="Times New Roman"/>
          <w:color w:val="auto"/>
          <w:spacing w:val="7"/>
          <w:sz w:val="30"/>
          <w:szCs w:val="30"/>
          <w:lang w:val="en-US" w:eastAsia="zh-CN"/>
        </w:rPr>
        <w:t>1.教学活动时间总体分配</w:t>
      </w:r>
    </w:p>
    <w:tbl>
      <w:tblPr>
        <w:tblStyle w:val="11"/>
        <w:tblW w:w="97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08"/>
        <w:gridCol w:w="964"/>
        <w:gridCol w:w="964"/>
        <w:gridCol w:w="964"/>
        <w:gridCol w:w="964"/>
        <w:gridCol w:w="964"/>
        <w:gridCol w:w="964"/>
        <w:gridCol w:w="1386"/>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rPr>
            </w:pPr>
            <w:r>
              <w:rPr>
                <w:rFonts w:hint="eastAsia" w:ascii="Times New Roman" w:hAnsi="Times New Roman" w:eastAsia="仿宋_GB2312" w:cs="Times New Roman"/>
                <w:b/>
                <w:color w:val="auto"/>
                <w:sz w:val="28"/>
                <w:szCs w:val="28"/>
                <w:lang w:eastAsia="zh-CN"/>
              </w:rPr>
              <w:t>学期</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一</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二</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三</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四</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五</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六</w:t>
            </w: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b/>
                <w:color w:val="auto"/>
                <w:sz w:val="28"/>
                <w:szCs w:val="28"/>
                <w:lang w:eastAsia="zh-CN"/>
              </w:rPr>
            </w:pPr>
            <w:r>
              <w:rPr>
                <w:rFonts w:hint="eastAsia" w:ascii="Times New Roman" w:hAnsi="Times New Roman" w:eastAsia="仿宋_GB2312" w:cs="Times New Roman"/>
                <w:b/>
                <w:color w:val="auto"/>
                <w:sz w:val="28"/>
                <w:szCs w:val="28"/>
                <w:lang w:eastAsia="zh-CN"/>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军训</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bidi="ar"/>
              </w:rPr>
              <w:t>2</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bidi="ar"/>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课堂教学</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r>
              <w:rPr>
                <w:rFonts w:hint="eastAsia" w:ascii="Times New Roman" w:hAnsi="Times New Roman" w:eastAsia="仿宋_GB2312" w:cs="Times New Roman"/>
                <w:color w:val="auto"/>
                <w:sz w:val="28"/>
                <w:szCs w:val="28"/>
                <w:lang w:val="en-US" w:eastAsia="zh-CN" w:bidi="ar"/>
              </w:rPr>
              <w:t>7</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18</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color w:val="auto"/>
                <w:sz w:val="28"/>
                <w:szCs w:val="28"/>
                <w:lang w:val="en-US" w:eastAsia="zh-CN" w:bidi="ar"/>
              </w:rPr>
              <w:t>19</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r>
              <w:rPr>
                <w:rFonts w:hint="eastAsia" w:ascii="Times New Roman" w:hAnsi="Times New Roman" w:eastAsia="仿宋_GB2312" w:cs="Times New Roman"/>
                <w:color w:val="auto"/>
                <w:sz w:val="28"/>
                <w:szCs w:val="28"/>
                <w:lang w:val="en-US" w:eastAsia="zh-CN" w:bidi="ar"/>
              </w:rPr>
              <w:t>8</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cs="Times New Roman"/>
                <w:color w:val="auto"/>
                <w:sz w:val="28"/>
                <w:szCs w:val="28"/>
                <w:lang w:val="en-US" w:eastAsia="zh-CN" w:bidi="ar"/>
              </w:rPr>
              <w:t>12</w:t>
            </w: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cs="Times New Roman"/>
                <w:color w:val="auto"/>
                <w:sz w:val="28"/>
                <w:szCs w:val="28"/>
                <w:lang w:val="en-US" w:eastAsia="zh-CN" w:bidi="ar"/>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劳动周/社会实践周</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cs="Times New Roman"/>
                <w:color w:val="auto"/>
                <w:sz w:val="28"/>
                <w:szCs w:val="28"/>
                <w:lang w:val="en-US" w:eastAsia="zh-CN" w:bidi="ar"/>
              </w:rPr>
              <w:t>8</w:t>
            </w: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cs="Times New Roman"/>
                <w:color w:val="auto"/>
                <w:sz w:val="28"/>
                <w:szCs w:val="28"/>
                <w:lang w:val="en-US" w:eastAsia="zh-CN" w:bidi="ar"/>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认识实习/岗位实习</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color w:val="auto"/>
                <w:sz w:val="28"/>
                <w:szCs w:val="28"/>
                <w:lang w:val="en-US" w:eastAsia="zh-CN" w:bidi="ar"/>
              </w:rPr>
              <w:t>20</w:t>
            </w:r>
          </w:p>
        </w:tc>
        <w:tc>
          <w:tcPr>
            <w:tcW w:w="964"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color w:val="auto"/>
                <w:sz w:val="28"/>
                <w:szCs w:val="28"/>
                <w:lang w:val="en-US" w:eastAsia="zh-CN" w:bidi="ar"/>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机动</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1</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964"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cs="Times New Roman"/>
                <w:color w:val="auto"/>
                <w:sz w:val="28"/>
                <w:szCs w:val="28"/>
                <w:lang w:val="en-US" w:eastAsia="zh-CN" w:bidi="ar"/>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08"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合计</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20</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20</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20</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20</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eastAsia="zh-CN" w:bidi="ar"/>
              </w:rPr>
              <w:t>20</w:t>
            </w:r>
          </w:p>
        </w:tc>
        <w:tc>
          <w:tcPr>
            <w:tcW w:w="964"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cs="Times New Roman"/>
                <w:color w:val="auto"/>
                <w:sz w:val="28"/>
                <w:szCs w:val="28"/>
                <w:lang w:val="en-US" w:eastAsia="zh-CN" w:bidi="ar"/>
              </w:rPr>
              <w:t>20</w:t>
            </w:r>
          </w:p>
        </w:tc>
        <w:tc>
          <w:tcPr>
            <w:tcW w:w="138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cs="Times New Roman"/>
                <w:color w:val="auto"/>
                <w:sz w:val="28"/>
                <w:szCs w:val="28"/>
                <w:lang w:val="en-US" w:eastAsia="zh-CN" w:bidi="ar"/>
              </w:rPr>
              <w:t>120</w:t>
            </w:r>
          </w:p>
        </w:tc>
      </w:tr>
    </w:tbl>
    <w:p w14:paraId="407823BC">
      <w:pPr>
        <w:keepNext w:val="0"/>
        <w:keepLines w:val="0"/>
        <w:pageBreakBefore w:val="0"/>
        <w:numPr>
          <w:ilvl w:val="0"/>
          <w:numId w:val="0"/>
        </w:numPr>
        <w:wordWrap/>
        <w:overflowPunct/>
        <w:topLinePunct w:val="0"/>
        <w:bidi w:val="0"/>
        <w:spacing w:line="540" w:lineRule="exact"/>
        <w:ind w:left="0"/>
        <w:jc w:val="center"/>
        <w:rPr>
          <w:rFonts w:hint="eastAsia" w:ascii="Times New Roman" w:hAnsi="Times New Roman" w:eastAsia="仿宋_GB2312" w:cs="Times New Roman"/>
          <w:snapToGrid w:val="0"/>
          <w:color w:val="auto"/>
          <w:spacing w:val="-1"/>
          <w:kern w:val="0"/>
          <w:sz w:val="30"/>
          <w:szCs w:val="30"/>
          <w:lang w:val="en-US" w:eastAsia="zh-CN" w:bidi="ar-SA"/>
        </w:rPr>
      </w:pPr>
      <w:r>
        <w:rPr>
          <w:rFonts w:hint="eastAsia" w:ascii="Times New Roman" w:hAnsi="Times New Roman" w:eastAsia="仿宋_GB2312" w:cs="Times New Roman"/>
          <w:snapToGrid w:val="0"/>
          <w:color w:val="auto"/>
          <w:spacing w:val="-1"/>
          <w:kern w:val="0"/>
          <w:sz w:val="30"/>
          <w:szCs w:val="30"/>
          <w:lang w:val="en-US" w:eastAsia="zh-CN" w:bidi="ar-SA"/>
        </w:rPr>
        <w:t>专业教学活动周数分配表（教学进度安排表） 单位：周</w:t>
      </w:r>
    </w:p>
    <w:p w14:paraId="41AD7C84">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pacing w:val="7"/>
          <w:sz w:val="30"/>
          <w:szCs w:val="30"/>
          <w:lang w:val="en-US" w:eastAsia="zh-CN"/>
        </w:rPr>
      </w:pPr>
      <w:r>
        <w:rPr>
          <w:rFonts w:hint="eastAsia" w:ascii="Times New Roman" w:hAnsi="Times New Roman" w:eastAsia="仿宋_GB2312" w:cs="Times New Roman"/>
          <w:color w:val="auto"/>
          <w:spacing w:val="7"/>
          <w:sz w:val="30"/>
          <w:szCs w:val="30"/>
          <w:lang w:val="en-US" w:eastAsia="zh-CN"/>
        </w:rPr>
        <w:t>2.专业各类课程学时分配</w:t>
      </w:r>
    </w:p>
    <w:p w14:paraId="6F0C00DE">
      <w:pPr>
        <w:keepNext w:val="0"/>
        <w:keepLines w:val="0"/>
        <w:pageBreakBefore w:val="0"/>
        <w:wordWrap/>
        <w:overflowPunct/>
        <w:topLinePunct w:val="0"/>
        <w:bidi w:val="0"/>
        <w:spacing w:line="540" w:lineRule="exact"/>
        <w:ind w:left="0" w:firstLine="3600" w:firstLineChars="1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专业各类课程学时分配</w:t>
      </w:r>
    </w:p>
    <w:tbl>
      <w:tblPr>
        <w:tblStyle w:val="11"/>
        <w:tblW w:w="9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110"/>
        <w:gridCol w:w="1625"/>
        <w:gridCol w:w="1380"/>
        <w:gridCol w:w="1335"/>
        <w:gridCol w:w="1459"/>
        <w:gridCol w:w="961"/>
      </w:tblGrid>
      <w:tr w14:paraId="406B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1AA936C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课程</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类型</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486273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公共</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5799"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6D7F289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75FB7E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合计</w:t>
            </w:r>
          </w:p>
        </w:tc>
      </w:tr>
      <w:tr w14:paraId="3710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2346067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32A304E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041DBF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48E43EB9">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68DBE4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拓展课</w:t>
            </w:r>
          </w:p>
        </w:tc>
        <w:tc>
          <w:tcPr>
            <w:tcW w:w="1459" w:type="dxa"/>
            <w:tcBorders>
              <w:top w:val="single" w:color="000000" w:sz="4" w:space="0"/>
              <w:left w:val="single" w:color="000000" w:sz="4" w:space="0"/>
              <w:bottom w:val="single" w:color="000000" w:sz="4" w:space="0"/>
              <w:right w:val="nil"/>
            </w:tcBorders>
            <w:shd w:val="clear" w:color="auto" w:fill="D9E1F4"/>
            <w:vAlign w:val="center"/>
          </w:tcPr>
          <w:p w14:paraId="3B4A2F7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综合实训实习课</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C6DA90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Times New Roman" w:hAnsi="Times New Roman" w:eastAsia="仿宋_GB2312" w:cs="Times New Roman"/>
                <w:b/>
                <w:bCs/>
                <w:color w:val="auto"/>
                <w:sz w:val="30"/>
                <w:szCs w:val="30"/>
              </w:rPr>
            </w:pPr>
          </w:p>
        </w:tc>
      </w:tr>
      <w:tr w14:paraId="7041C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089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学时</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3CF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1346</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05B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700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A354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760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039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200</w:t>
            </w:r>
          </w:p>
        </w:tc>
        <w:tc>
          <w:tcPr>
            <w:tcW w:w="1459" w:type="dxa"/>
            <w:tcBorders>
              <w:top w:val="single" w:color="000000" w:sz="4" w:space="0"/>
              <w:left w:val="single" w:color="000000" w:sz="4" w:space="0"/>
              <w:bottom w:val="single" w:color="000000" w:sz="4" w:space="0"/>
              <w:right w:val="nil"/>
            </w:tcBorders>
            <w:shd w:val="clear" w:color="auto" w:fill="auto"/>
            <w:noWrap/>
            <w:vAlign w:val="center"/>
          </w:tcPr>
          <w:p w14:paraId="7E2BC6D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760</w:t>
            </w:r>
          </w:p>
        </w:tc>
        <w:tc>
          <w:tcPr>
            <w:tcW w:w="961"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AC877E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3766</w:t>
            </w:r>
          </w:p>
        </w:tc>
      </w:tr>
      <w:tr w14:paraId="02DB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B12C">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所占总学</w:t>
            </w:r>
            <w:r>
              <w:rPr>
                <w:rFonts w:hint="eastAsia" w:ascii="Times New Roman" w:hAnsi="Times New Roman" w:eastAsia="仿宋_GB2312" w:cs="Times New Roman"/>
                <w:b w:val="0"/>
                <w:bCs w:val="0"/>
                <w:color w:val="auto"/>
                <w:sz w:val="30"/>
                <w:szCs w:val="30"/>
                <w:lang w:val="en-US" w:eastAsia="zh-CN"/>
              </w:rPr>
              <w:br w:type="textWrapping"/>
            </w:r>
            <w:r>
              <w:rPr>
                <w:rFonts w:hint="eastAsia" w:ascii="Times New Roman" w:hAnsi="Times New Roman" w:eastAsia="仿宋_GB2312" w:cs="Times New Roman"/>
                <w:b w:val="0"/>
                <w:bCs w:val="0"/>
                <w:color w:val="auto"/>
                <w:sz w:val="30"/>
                <w:szCs w:val="30"/>
                <w:lang w:val="en-US" w:eastAsia="zh-CN"/>
              </w:rPr>
              <w:t>时比例%</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3C0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val="0"/>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35.7%</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3AF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val="0"/>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18.6%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DB38">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val="0"/>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20.2%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39B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val="0"/>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5.3%</w:t>
            </w:r>
          </w:p>
        </w:tc>
        <w:tc>
          <w:tcPr>
            <w:tcW w:w="1459" w:type="dxa"/>
            <w:tcBorders>
              <w:top w:val="single" w:color="000000" w:sz="4" w:space="0"/>
              <w:left w:val="single" w:color="000000" w:sz="4" w:space="0"/>
              <w:bottom w:val="single" w:color="000000" w:sz="4" w:space="0"/>
              <w:right w:val="nil"/>
            </w:tcBorders>
            <w:shd w:val="clear" w:color="auto" w:fill="auto"/>
            <w:noWrap/>
            <w:vAlign w:val="center"/>
          </w:tcPr>
          <w:p w14:paraId="2A4C9F8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strike w:val="0"/>
                <w:dstrike w:val="0"/>
                <w:color w:val="auto"/>
                <w:sz w:val="30"/>
                <w:szCs w:val="30"/>
                <w:highlight w:val="none"/>
                <w:lang w:val="en-US" w:eastAsia="zh-CN"/>
              </w:rPr>
            </w:pPr>
            <w:r>
              <w:rPr>
                <w:rFonts w:hint="eastAsia" w:ascii="Times New Roman" w:hAnsi="Times New Roman" w:eastAsia="仿宋_GB2312" w:cs="Times New Roman"/>
                <w:b w:val="0"/>
                <w:bCs w:val="0"/>
                <w:strike w:val="0"/>
                <w:dstrike w:val="0"/>
                <w:color w:val="auto"/>
                <w:sz w:val="30"/>
                <w:szCs w:val="30"/>
                <w:highlight w:val="none"/>
                <w:lang w:val="en-US" w:eastAsia="zh-CN"/>
              </w:rPr>
              <w:t>20.2%</w:t>
            </w:r>
          </w:p>
        </w:tc>
        <w:tc>
          <w:tcPr>
            <w:tcW w:w="961"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CAF01C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highlight w:val="none"/>
                <w:lang w:val="en-US" w:eastAsia="zh-CN"/>
              </w:rPr>
            </w:pPr>
            <w:r>
              <w:rPr>
                <w:rFonts w:hint="eastAsia" w:ascii="Times New Roman" w:hAnsi="Times New Roman" w:eastAsia="仿宋_GB2312" w:cs="Times New Roman"/>
                <w:b w:val="0"/>
                <w:bCs w:val="0"/>
                <w:color w:val="auto"/>
                <w:sz w:val="30"/>
                <w:szCs w:val="30"/>
                <w:highlight w:val="none"/>
                <w:lang w:val="en-US" w:eastAsia="zh-CN"/>
              </w:rPr>
              <w:t>100%</w:t>
            </w:r>
          </w:p>
        </w:tc>
      </w:tr>
    </w:tbl>
    <w:p w14:paraId="67B63C05">
      <w:pPr>
        <w:keepNext w:val="0"/>
        <w:keepLines w:val="0"/>
        <w:pageBreakBefore w:val="0"/>
        <w:widowControl/>
        <w:kinsoku/>
        <w:wordWrap/>
        <w:overflowPunct/>
        <w:topLinePunct w:val="0"/>
        <w:autoSpaceDE/>
        <w:autoSpaceDN/>
        <w:bidi w:val="0"/>
        <w:adjustRightInd/>
        <w:snapToGrid w:val="0"/>
        <w:spacing w:line="240" w:lineRule="auto"/>
        <w:ind w:left="0" w:firstLine="1506" w:firstLineChars="500"/>
        <w:jc w:val="both"/>
        <w:textAlignment w:val="baseline"/>
        <w:rPr>
          <w:rFonts w:hint="eastAsia" w:ascii="Times New Roman" w:hAnsi="Times New Roman" w:eastAsia="仿宋_GB2312" w:cs="Times New Roman"/>
          <w:b/>
          <w:bCs/>
          <w:color w:val="auto"/>
          <w:sz w:val="30"/>
          <w:szCs w:val="30"/>
          <w:lang w:val="en-US" w:eastAsia="zh-CN"/>
        </w:rPr>
      </w:pPr>
    </w:p>
    <w:p w14:paraId="2E49FD03">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color w:val="000000"/>
          <w:kern w:val="0"/>
          <w:sz w:val="32"/>
          <w:szCs w:val="32"/>
          <w:lang w:val="en-US" w:eastAsia="zh-CN" w:bidi="ar"/>
        </w:rPr>
      </w:pPr>
    </w:p>
    <w:p w14:paraId="1FF4EE21">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000000"/>
          <w:kern w:val="0"/>
          <w:sz w:val="32"/>
          <w:szCs w:val="32"/>
          <w:lang w:val="en-US" w:eastAsia="zh-CN" w:bidi="ar"/>
        </w:rPr>
      </w:pPr>
    </w:p>
    <w:p w14:paraId="22D07412">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000000"/>
          <w:kern w:val="0"/>
          <w:sz w:val="32"/>
          <w:szCs w:val="32"/>
          <w:lang w:val="en-US" w:eastAsia="zh-CN" w:bidi="ar"/>
        </w:rPr>
      </w:pPr>
    </w:p>
    <w:p w14:paraId="157F71DB">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000000"/>
          <w:kern w:val="0"/>
          <w:sz w:val="32"/>
          <w:szCs w:val="32"/>
          <w:lang w:val="en-US" w:eastAsia="zh-CN" w:bidi="ar"/>
        </w:rPr>
      </w:pPr>
    </w:p>
    <w:p w14:paraId="2F112521">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000000"/>
          <w:kern w:val="0"/>
          <w:sz w:val="32"/>
          <w:szCs w:val="32"/>
          <w:lang w:val="en-US" w:eastAsia="zh-CN" w:bidi="ar"/>
        </w:rPr>
      </w:pPr>
      <w:r>
        <w:rPr>
          <w:rFonts w:hint="eastAsia" w:ascii="Times New Roman" w:hAnsi="Times New Roman" w:eastAsia="仿宋_GB2312" w:cs="Times New Roman"/>
          <w:b/>
          <w:bCs/>
          <w:color w:val="000000"/>
          <w:kern w:val="0"/>
          <w:sz w:val="32"/>
          <w:szCs w:val="32"/>
          <w:lang w:val="en-US" w:eastAsia="zh-CN" w:bidi="ar"/>
        </w:rPr>
        <w:t>广西工艺美术学校动漫与游戏制作专业（三年制）</w:t>
      </w:r>
    </w:p>
    <w:p w14:paraId="5F299265">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000000"/>
          <w:kern w:val="0"/>
          <w:sz w:val="32"/>
          <w:szCs w:val="32"/>
          <w:lang w:val="en-US" w:eastAsia="zh-CN" w:bidi="ar"/>
        </w:rPr>
      </w:pPr>
      <w:r>
        <w:rPr>
          <w:rFonts w:hint="eastAsia" w:ascii="Times New Roman" w:hAnsi="Times New Roman" w:eastAsia="仿宋_GB2312" w:cs="Times New Roman"/>
          <w:b/>
          <w:bCs/>
          <w:color w:val="000000"/>
          <w:kern w:val="0"/>
          <w:sz w:val="32"/>
          <w:szCs w:val="32"/>
          <w:lang w:val="en-US" w:eastAsia="zh-CN" w:bidi="ar"/>
        </w:rPr>
        <w:t>课程设置及学时安排</w:t>
      </w:r>
    </w:p>
    <w:tbl>
      <w:tblPr>
        <w:tblStyle w:val="11"/>
        <w:tblW w:w="0" w:type="auto"/>
        <w:tblInd w:w="-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6"/>
        <w:gridCol w:w="426"/>
        <w:gridCol w:w="427"/>
        <w:gridCol w:w="533"/>
        <w:gridCol w:w="2120"/>
        <w:gridCol w:w="658"/>
        <w:gridCol w:w="646"/>
        <w:gridCol w:w="658"/>
        <w:gridCol w:w="658"/>
        <w:gridCol w:w="756"/>
        <w:gridCol w:w="442"/>
        <w:gridCol w:w="442"/>
        <w:gridCol w:w="446"/>
        <w:gridCol w:w="446"/>
        <w:gridCol w:w="442"/>
        <w:gridCol w:w="442"/>
      </w:tblGrid>
      <w:tr w14:paraId="3029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80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课程</w:t>
            </w:r>
          </w:p>
          <w:p w14:paraId="052016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分类</w:t>
            </w:r>
          </w:p>
        </w:tc>
        <w:tc>
          <w:tcPr>
            <w:tcW w:w="3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303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课程名称</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40D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课程性质</w:t>
            </w:r>
          </w:p>
        </w:tc>
        <w:tc>
          <w:tcPr>
            <w:tcW w:w="19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ED1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学时</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7E3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学分</w:t>
            </w:r>
          </w:p>
        </w:tc>
        <w:tc>
          <w:tcPr>
            <w:tcW w:w="26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73C4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各学期周数或学时分配</w:t>
            </w:r>
          </w:p>
        </w:tc>
      </w:tr>
      <w:tr w14:paraId="427E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F664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3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D63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BB2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60A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总学时</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6FE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理论学时</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582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实践学时</w:t>
            </w: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256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57BB5">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1</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299FC">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w:t>
            </w:r>
          </w:p>
        </w:tc>
        <w:tc>
          <w:tcPr>
            <w:tcW w:w="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3DD79">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3</w:t>
            </w:r>
          </w:p>
        </w:tc>
        <w:tc>
          <w:tcPr>
            <w:tcW w:w="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7D590">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4</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C4664">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5</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59F82">
            <w:pPr>
              <w:keepNext w:val="0"/>
              <w:keepLines w:val="0"/>
              <w:pageBreakBefore w:val="0"/>
              <w:widowControl/>
              <w:suppressLineNumbers w:val="0"/>
              <w:kinsoku/>
              <w:wordWrap/>
              <w:overflowPunct/>
              <w:topLinePunct w:val="0"/>
              <w:autoSpaceDE/>
              <w:autoSpaceDN/>
              <w:bidi w:val="0"/>
              <w:adjustRightInd/>
              <w:snapToGrid/>
              <w:spacing w:line="14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6</w:t>
            </w:r>
          </w:p>
        </w:tc>
      </w:tr>
      <w:tr w14:paraId="3FC1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4AF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3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94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CE6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D9D6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183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4AB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01E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CB7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A5B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F6D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E3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3D41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D1D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p>
        </w:tc>
      </w:tr>
      <w:tr w14:paraId="61DB6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4173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3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2BF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5CF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33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315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1DD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AB1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2C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05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A57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E7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82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DE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r>
              <w:rPr>
                <w:rFonts w:hint="eastAsia" w:ascii="Times New Roman" w:hAnsi="Times New Roman" w:eastAsia="仿宋_GB2312" w:cs="Times New Roman"/>
                <w:b/>
                <w:bCs/>
                <w:i w:val="0"/>
                <w:iCs w:val="0"/>
                <w:color w:val="000000"/>
                <w:kern w:val="0"/>
                <w:sz w:val="20"/>
                <w:szCs w:val="20"/>
                <w:u w:val="none"/>
                <w:lang w:val="en-US" w:eastAsia="zh-CN" w:bidi="ar"/>
              </w:rPr>
              <w:t>周</w:t>
            </w:r>
          </w:p>
        </w:tc>
      </w:tr>
      <w:tr w14:paraId="29A0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A74E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公共基础课</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B8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B2E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思政课程</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D88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中国特色社会主义</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72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590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13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E8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2E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7E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98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58B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306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19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C1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50D6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C53E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30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1A9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050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心理健康与职业生涯</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EE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85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0D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5B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ED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E5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47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42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F3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B5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A2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DDF6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D6D7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E7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D32F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02B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哲学与人生</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830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1D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D0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B74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F07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D0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71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3C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D48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19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8E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288F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2AB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A7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EFD7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B4B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职业道德与法治</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82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D6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B6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DF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C0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A98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00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C1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BB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34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0A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766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E82C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DE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6CC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110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（拓展模块）国家安全教育、民族团结进步教育等</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1D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3C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9A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CE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68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6B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E7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5A4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93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38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9D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r>
      <w:tr w14:paraId="0D4E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EE83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EB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BBA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EC7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习近平新时代中国特色社会主义思想读本</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32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80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5F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19E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10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3C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65A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FE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2F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DA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3E9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BA6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AFF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4D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76F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语文（基础模块</w:t>
            </w:r>
            <w:r>
              <w:rPr>
                <w:rFonts w:hint="default" w:ascii="Times New Roman" w:hAnsi="Times New Roman" w:eastAsia="仿宋_GB2312" w:cs="Times New Roman"/>
                <w:i w:val="0"/>
                <w:iCs w:val="0"/>
                <w:color w:val="000000"/>
                <w:kern w:val="0"/>
                <w:sz w:val="20"/>
                <w:szCs w:val="20"/>
                <w:u w:val="none"/>
                <w:lang w:val="en-US" w:eastAsia="zh-CN" w:bidi="ar"/>
              </w:rPr>
              <w:t>+</w:t>
            </w:r>
            <w:r>
              <w:rPr>
                <w:rFonts w:hint="eastAsia" w:ascii="Times New Roman" w:hAnsi="Times New Roman" w:eastAsia="仿宋_GB2312" w:cs="Times New Roman"/>
                <w:i w:val="0"/>
                <w:iCs w:val="0"/>
                <w:color w:val="000000"/>
                <w:kern w:val="0"/>
                <w:sz w:val="20"/>
                <w:szCs w:val="20"/>
                <w:u w:val="none"/>
                <w:lang w:val="en-US" w:eastAsia="zh-CN" w:bidi="ar"/>
              </w:rPr>
              <w:t>职业模块）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EA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29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198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3F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144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B0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1C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262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31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12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A92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E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3E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r>
      <w:tr w14:paraId="62428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033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AC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3116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语文（拓展模块）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4A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57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10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39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81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45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BC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D8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69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3E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F39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r>
      <w:tr w14:paraId="4CEE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A07E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D4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E3A8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历史（基础模块）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79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56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9D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70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5FC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43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CF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E8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ECB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7C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B2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3E3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5CA7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6A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A13B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历史（拓展模块）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0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53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24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D2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71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9D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3A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86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BB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AA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6F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r>
      <w:tr w14:paraId="0F74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2C7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D9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F0C5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英语（基础模块</w:t>
            </w:r>
            <w:r>
              <w:rPr>
                <w:rFonts w:hint="default" w:ascii="Times New Roman" w:hAnsi="Times New Roman" w:eastAsia="仿宋_GB2312" w:cs="Times New Roman"/>
                <w:i w:val="0"/>
                <w:iCs w:val="0"/>
                <w:color w:val="000000"/>
                <w:kern w:val="0"/>
                <w:sz w:val="20"/>
                <w:szCs w:val="20"/>
                <w:u w:val="none"/>
                <w:lang w:val="en-US" w:eastAsia="zh-CN" w:bidi="ar"/>
              </w:rPr>
              <w:t>+</w:t>
            </w:r>
            <w:r>
              <w:rPr>
                <w:rFonts w:hint="eastAsia" w:ascii="Times New Roman" w:hAnsi="Times New Roman" w:eastAsia="仿宋_GB2312" w:cs="Times New Roman"/>
                <w:i w:val="0"/>
                <w:iCs w:val="0"/>
                <w:color w:val="000000"/>
                <w:kern w:val="0"/>
                <w:sz w:val="20"/>
                <w:szCs w:val="20"/>
                <w:u w:val="none"/>
                <w:lang w:val="en-US" w:eastAsia="zh-CN" w:bidi="ar"/>
              </w:rPr>
              <w:t>职业模块）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466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65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144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757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3A7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4B7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FF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8E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CB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927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51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112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5A0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E916">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5F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FAF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英语（拓展模块）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53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F6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B4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26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FC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56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81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02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DB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BA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4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r>
      <w:tr w14:paraId="6EB21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E7CD3">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20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13</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E56A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数学（基础模块）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C7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6F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B79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31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CA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6A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F3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45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4B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5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27A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45D8D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A79F2">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AE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14</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992D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数学（拓展模块）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0EB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D9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6D6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347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D7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DF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7F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EE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8C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E7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08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r>
      <w:tr w14:paraId="1A79A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6AD6">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D0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15</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B818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信息技术（基础模块）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C1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62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C6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A9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09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D0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9E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08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77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6B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A9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0BA5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E8AC">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48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30F6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信息技术（拓展模块）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DA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E8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17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AF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3A2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C8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4F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A5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7F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84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23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r>
      <w:tr w14:paraId="40CB7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7C984">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09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17</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5D06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体育与健康（基础模块）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FF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A0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BE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AA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19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FF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1E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5C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08A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87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8C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3F5E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B4FE7">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59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7DBD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体育与健康（拓展模块）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E1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4C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65B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2E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71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48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2A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93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6B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72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52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856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B1593">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EB6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19</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90A3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艺术（基础模块）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53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C9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6B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368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FD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B7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2F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92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BC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D4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84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5CF5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880DA">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12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78A4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艺术（拓展模块）</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46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61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2E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51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CA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6D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B84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DA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96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A2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DDC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7338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4CBB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91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672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劳动教育</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C9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9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56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342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CD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C4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EEF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90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3B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1EB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E4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CDA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676FB">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63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DE2A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安全教育</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CD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DB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C1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05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15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0.5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96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02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5A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E8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69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B5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1C49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3B114">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7F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23</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0B07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军事训练和国防教育</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1A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8A0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22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4C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25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76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D1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46C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8FF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83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19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D6A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6F405">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single" w:color="000000" w:sz="4" w:space="0"/>
              <w:bottom w:val="single" w:color="000000" w:sz="4" w:space="0"/>
              <w:right w:val="nil"/>
            </w:tcBorders>
            <w:shd w:val="clear" w:color="auto" w:fill="auto"/>
            <w:vAlign w:val="center"/>
          </w:tcPr>
          <w:p w14:paraId="3B5E09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7E9D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人工智能通识教育</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4A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57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D5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6D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62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CB4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63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5F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20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93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27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138BC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07A5">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37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D4D05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56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1346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AB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838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C4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508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64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CE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C2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F7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6B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C7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0F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12</w:t>
            </w:r>
          </w:p>
        </w:tc>
      </w:tr>
      <w:tr w14:paraId="3F5F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18B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专业课</w:t>
            </w:r>
          </w:p>
        </w:tc>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BEA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专业基础课</w:t>
            </w:r>
          </w:p>
        </w:tc>
        <w:tc>
          <w:tcPr>
            <w:tcW w:w="427" w:type="dxa"/>
            <w:tcBorders>
              <w:top w:val="single" w:color="000000" w:sz="4" w:space="0"/>
              <w:left w:val="nil"/>
              <w:bottom w:val="single" w:color="000000" w:sz="4" w:space="0"/>
              <w:right w:val="single" w:color="000000" w:sz="4" w:space="0"/>
            </w:tcBorders>
            <w:shd w:val="clear" w:color="auto" w:fill="auto"/>
            <w:vAlign w:val="center"/>
          </w:tcPr>
          <w:p w14:paraId="54FF3E6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F392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素描</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A9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8B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E0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78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7C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93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3C4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DC4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E2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9D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18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53F7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765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B44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4CD1EA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E5E7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色彩</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DB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8A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DE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F0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27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E7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03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05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71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D4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5E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637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AF7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C4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2AB724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4293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设计构成</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04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6F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6C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41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19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37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BE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46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9B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3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C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FF7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ED8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6AF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232AD3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D00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手绘插画</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2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50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F4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A4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0D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E82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C6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74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D57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69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1A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238A8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1AB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91D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1D6A85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C931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AIGC</w:t>
            </w:r>
            <w:r>
              <w:rPr>
                <w:rFonts w:hint="eastAsia" w:ascii="Times New Roman" w:hAnsi="Times New Roman" w:eastAsia="仿宋_GB2312" w:cs="Times New Roman"/>
                <w:i w:val="0"/>
                <w:iCs w:val="0"/>
                <w:color w:val="000000"/>
                <w:kern w:val="0"/>
                <w:sz w:val="20"/>
                <w:szCs w:val="20"/>
                <w:u w:val="none"/>
                <w:lang w:val="en-US" w:eastAsia="zh-CN" w:bidi="ar"/>
              </w:rPr>
              <w:t>基础与应用</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38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8B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7A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8D6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C0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77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60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8C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C1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5A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5E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38767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406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54B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446B99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56F4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图形图像处理</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7F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7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9E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0B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B9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D8D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EA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6A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92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3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02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1996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E13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084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61717E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7</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45B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游戏美术设计</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DAE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F2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86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74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D2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50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D9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A8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B2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7E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ED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7748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C2C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D9D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72A962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1609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新闻学基础</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BD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5FE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0C5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49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9C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D1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08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FB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2D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56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E63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CD74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9B233">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ABEF">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3738" w:type="dxa"/>
            <w:gridSpan w:val="4"/>
            <w:tcBorders>
              <w:top w:val="single" w:color="000000" w:sz="4" w:space="0"/>
              <w:left w:val="nil"/>
              <w:bottom w:val="single" w:color="000000" w:sz="4" w:space="0"/>
              <w:right w:val="single" w:color="000000" w:sz="4" w:space="0"/>
            </w:tcBorders>
            <w:shd w:val="clear" w:color="auto" w:fill="auto"/>
            <w:vAlign w:val="center"/>
          </w:tcPr>
          <w:p w14:paraId="15B104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0A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700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FF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184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62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516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1B6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35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3C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17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45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16</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A0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4C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D4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10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default" w:ascii="Times New Roman" w:hAnsi="Times New Roman" w:eastAsia="仿宋_GB2312" w:cs="Times New Roman"/>
                <w:b/>
                <w:bCs/>
                <w:i w:val="0"/>
                <w:iCs w:val="0"/>
                <w:color w:val="000000"/>
                <w:kern w:val="0"/>
                <w:sz w:val="20"/>
                <w:szCs w:val="20"/>
                <w:u w:val="none"/>
                <w:lang w:val="en-US" w:eastAsia="zh-CN" w:bidi="ar"/>
              </w:rPr>
              <w:t>0</w:t>
            </w:r>
          </w:p>
        </w:tc>
      </w:tr>
      <w:tr w14:paraId="1D508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284AF">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252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专业核心课</w:t>
            </w:r>
          </w:p>
        </w:tc>
        <w:tc>
          <w:tcPr>
            <w:tcW w:w="427" w:type="dxa"/>
            <w:tcBorders>
              <w:top w:val="single" w:color="000000" w:sz="4" w:space="0"/>
              <w:left w:val="nil"/>
              <w:bottom w:val="single" w:color="000000" w:sz="4" w:space="0"/>
              <w:right w:val="single" w:color="000000" w:sz="4" w:space="0"/>
            </w:tcBorders>
            <w:shd w:val="clear" w:color="auto" w:fill="auto"/>
            <w:vAlign w:val="center"/>
          </w:tcPr>
          <w:p w14:paraId="35049A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BD4B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游戏界面制作</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A7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432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50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25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7BE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7F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7F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8C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9B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38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FE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83B3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4EF9A">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7FAFF">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571C08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8F76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影视后期编辑</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C9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52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2F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3AA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44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17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608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2A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DD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49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2B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E3CE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E859">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F82E4">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29F80A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1904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二维动画制作</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DB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39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7A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D6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D4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92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BAE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41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36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E7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51A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1C781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8CB0A">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6C5EE">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12DBF14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2A9D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三维建模</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EC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EC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57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8CB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01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15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071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AE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E4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55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93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79BFC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1CBE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E676">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556A6C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7A25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贴图绘制</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4C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D0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BB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4C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6F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F3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55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04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D3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44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D2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525D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ACF7">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54E3D">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51D09F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33AE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三维动画制作</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A5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0F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9A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6D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39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39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E1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BC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5D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30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09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11D8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AB5DA">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497D8">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7C6FF3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4B5C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插画设计</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2A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50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67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CA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96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CB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B7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24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D7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779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9D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0AA5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78F51">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A53F6">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427" w:type="dxa"/>
            <w:tcBorders>
              <w:top w:val="single" w:color="000000" w:sz="4" w:space="0"/>
              <w:left w:val="nil"/>
              <w:bottom w:val="single" w:color="000000" w:sz="4" w:space="0"/>
              <w:right w:val="single" w:color="000000" w:sz="4" w:space="0"/>
            </w:tcBorders>
            <w:shd w:val="clear" w:color="auto" w:fill="auto"/>
            <w:vAlign w:val="center"/>
          </w:tcPr>
          <w:p w14:paraId="6EAB44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F433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游戏制作</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2E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51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35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15B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7E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76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B0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1E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73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84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6F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color w:val="000000"/>
                <w:kern w:val="0"/>
                <w:sz w:val="20"/>
                <w:szCs w:val="20"/>
                <w:highlight w:val="none"/>
                <w:u w:val="none"/>
                <w:lang w:val="en-US" w:eastAsia="zh-CN" w:bidi="ar"/>
              </w:rPr>
              <w:t>4</w:t>
            </w:r>
          </w:p>
        </w:tc>
      </w:tr>
      <w:tr w14:paraId="33FF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3E68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42487">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b/>
                <w:bCs/>
                <w:i w:val="0"/>
                <w:iCs w:val="0"/>
                <w:color w:val="000000"/>
                <w:sz w:val="20"/>
                <w:szCs w:val="20"/>
                <w:u w:val="none"/>
              </w:rPr>
            </w:pPr>
          </w:p>
        </w:tc>
        <w:tc>
          <w:tcPr>
            <w:tcW w:w="3738" w:type="dxa"/>
            <w:gridSpan w:val="4"/>
            <w:tcBorders>
              <w:top w:val="single" w:color="000000" w:sz="4" w:space="0"/>
              <w:left w:val="nil"/>
              <w:bottom w:val="single" w:color="000000" w:sz="4" w:space="0"/>
              <w:right w:val="single" w:color="000000" w:sz="4" w:space="0"/>
            </w:tcBorders>
            <w:shd w:val="clear" w:color="auto" w:fill="auto"/>
            <w:vAlign w:val="center"/>
          </w:tcPr>
          <w:p w14:paraId="146AA7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04F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760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048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152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402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608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84F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38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3E8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837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105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12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C64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18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548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3D4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0"/>
                <w:szCs w:val="20"/>
                <w:highlight w:val="none"/>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4</w:t>
            </w:r>
          </w:p>
        </w:tc>
      </w:tr>
      <w:tr w14:paraId="59CD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2DE15">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A51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专业拓展课</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74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32E7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摄影摄像</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D88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AF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87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DF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5E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8E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99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B9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96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17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2E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6D3C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781B3">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2A2C">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A2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F81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短视频策划与制作</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A82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719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B8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BD4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D3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0B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98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0C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DB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FA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15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7A8B3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8676D">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0B2B9">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36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2D07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泥塑</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680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16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40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49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8</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0A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32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85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2D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600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2CA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99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A9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5B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p>
        </w:tc>
      </w:tr>
      <w:tr w14:paraId="34CE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5626E">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7DD2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宋体" w:cs="Times New Roman"/>
                <w:i w:val="0"/>
                <w:iCs w:val="0"/>
                <w:color w:val="000000"/>
                <w:sz w:val="20"/>
                <w:szCs w:val="20"/>
                <w:u w:val="none"/>
              </w:rPr>
            </w:pPr>
          </w:p>
        </w:tc>
        <w:tc>
          <w:tcPr>
            <w:tcW w:w="37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CEEC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C64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9B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76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F7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29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A4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EF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56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62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61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r>
      <w:tr w14:paraId="066B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303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实习</w:t>
            </w:r>
          </w:p>
          <w:p w14:paraId="40D5A1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实训</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4B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1</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2A0A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毕业设计</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15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C3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160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71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03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128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DF3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108B">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4509">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C9DC">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BF47">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AD88">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9D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8</w:t>
            </w:r>
          </w:p>
        </w:tc>
      </w:tr>
      <w:tr w14:paraId="64BDF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9354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766D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2</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8CA7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岗位实习</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A2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9D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600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930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22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600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7C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3F27">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AC05">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C0C">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49E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3E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7681">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r>
      <w:tr w14:paraId="0229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A4184">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i w:val="0"/>
                <w:iCs w:val="0"/>
                <w:color w:val="000000"/>
                <w:sz w:val="20"/>
                <w:szCs w:val="20"/>
                <w:u w:val="none"/>
              </w:rPr>
            </w:pPr>
          </w:p>
        </w:tc>
        <w:tc>
          <w:tcPr>
            <w:tcW w:w="37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DDD0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A4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760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56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DD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728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23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28</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2B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F2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E7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AF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8F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70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color w:val="000000"/>
                <w:kern w:val="0"/>
                <w:sz w:val="20"/>
                <w:szCs w:val="20"/>
                <w:highlight w:val="none"/>
                <w:u w:val="none"/>
                <w:lang w:val="en-US" w:eastAsia="zh-CN" w:bidi="ar"/>
              </w:rPr>
              <w:t>12</w:t>
            </w:r>
          </w:p>
        </w:tc>
      </w:tr>
      <w:tr w14:paraId="34971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6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C5DB40">
            <w:pPr>
              <w:keepNext w:val="0"/>
              <w:keepLines w:val="0"/>
              <w:pageBreakBefore w:val="0"/>
              <w:kinsoku/>
              <w:wordWrap/>
              <w:overflowPunct/>
              <w:topLinePunct w:val="0"/>
              <w:autoSpaceDE/>
              <w:autoSpaceDN/>
              <w:bidi w:val="0"/>
              <w:adjustRightInd/>
              <w:snapToGrid/>
              <w:spacing w:line="200" w:lineRule="exact"/>
              <w:jc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合计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8BA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3766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7D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1246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83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2520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4E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185.5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03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3C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3D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34</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9F2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54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B3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20</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F2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28</w:t>
            </w:r>
          </w:p>
        </w:tc>
      </w:tr>
    </w:tbl>
    <w:p w14:paraId="633DABC1">
      <w:pPr>
        <w:keepNext w:val="0"/>
        <w:keepLines w:val="0"/>
        <w:pageBreakBefore w:val="0"/>
        <w:wordWrap/>
        <w:overflowPunct/>
        <w:topLinePunct w:val="0"/>
        <w:bidi w:val="0"/>
        <w:spacing w:line="540" w:lineRule="exact"/>
        <w:ind w:left="0" w:firstLine="620" w:firstLineChars="200"/>
        <w:outlineLvl w:val="0"/>
        <w:rPr>
          <w:rFonts w:hint="eastAsia" w:ascii="Times New Roman" w:hAnsi="Times New Roman" w:eastAsia="黑体" w:cs="Times New Roman"/>
          <w:b w:val="0"/>
          <w:bCs w:val="0"/>
          <w:color w:val="auto"/>
          <w:spacing w:val="5"/>
          <w:sz w:val="30"/>
          <w:szCs w:val="30"/>
        </w:rPr>
      </w:pPr>
      <w:bookmarkStart w:id="26" w:name="_Toc26424"/>
      <w:r>
        <w:rPr>
          <w:rFonts w:hint="eastAsia" w:ascii="Times New Roman" w:hAnsi="Times New Roman" w:eastAsia="黑体" w:cs="Times New Roman"/>
          <w:b w:val="0"/>
          <w:bCs w:val="0"/>
          <w:color w:val="auto"/>
          <w:spacing w:val="5"/>
          <w:sz w:val="30"/>
          <w:szCs w:val="30"/>
          <w:lang w:val="en-US" w:eastAsia="zh-CN"/>
        </w:rPr>
        <w:t>八</w:t>
      </w:r>
      <w:r>
        <w:rPr>
          <w:rFonts w:hint="eastAsia" w:ascii="Times New Roman" w:hAnsi="Times New Roman" w:eastAsia="黑体" w:cs="Times New Roman"/>
          <w:b w:val="0"/>
          <w:bCs w:val="0"/>
          <w:color w:val="auto"/>
          <w:spacing w:val="5"/>
          <w:sz w:val="30"/>
          <w:szCs w:val="30"/>
        </w:rPr>
        <w:t>、实施保障</w:t>
      </w:r>
      <w:bookmarkEnd w:id="26"/>
    </w:p>
    <w:p w14:paraId="66EA5F8C">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color w:val="auto"/>
          <w:sz w:val="30"/>
          <w:szCs w:val="30"/>
        </w:rPr>
      </w:pPr>
      <w:bookmarkStart w:id="27" w:name="bookmark34"/>
      <w:bookmarkEnd w:id="27"/>
      <w:bookmarkStart w:id="28" w:name="_Toc29121"/>
      <w:r>
        <w:rPr>
          <w:rFonts w:hint="eastAsia" w:ascii="Times New Roman" w:hAnsi="Times New Roman" w:eastAsia="仿宋_GB2312" w:cs="Times New Roman"/>
          <w:b/>
          <w:bCs/>
          <w:color w:val="auto"/>
          <w:spacing w:val="2"/>
          <w:sz w:val="30"/>
          <w:szCs w:val="30"/>
        </w:rPr>
        <w:t>（一）师资队伍</w:t>
      </w:r>
      <w:bookmarkEnd w:id="28"/>
    </w:p>
    <w:p w14:paraId="2B495EC8">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1.队伍结构</w:t>
      </w:r>
    </w:p>
    <w:p w14:paraId="74E301FD">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（1）专业教学团队</w:t>
      </w:r>
    </w:p>
    <w:p w14:paraId="2EBC38AF">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专任教师队伍的数量、学历和职称要符合国家有关规定，形成合理的梯队结构。学生数与专任教师数比例不高于20∶1，专任教师中具有高级专业技术职务人数不低于 20%。“双师型”教师占专业课教师数比例应不低于 50%。</w:t>
      </w:r>
    </w:p>
    <w:p w14:paraId="1EFAB0C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能够整合校内外优质人才资源，选聘企业高级技术人员担任行业导师，组建校企合作、专兼结合的教师团队，建立定期开展专业（学科）教研机制。</w:t>
      </w:r>
    </w:p>
    <w:p w14:paraId="69E21633">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（2）专业带头人</w:t>
      </w:r>
    </w:p>
    <w:p w14:paraId="39919FCC">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本专业严格依照《广西工艺美术学校专业带头人选拔培养与管理办法》（桂美校〔2024〕52 号）配备专业带头人，人选须师德良好、具备中级及以上职称与双师资质，在校从事本专业教学满 5 年，近五年取得规定两项及以上教研成果；专业带头人统筹专业规划、人才培养方案修订、课程与实训基地建设、校企合作等工作，组织教研科研、每年开展专业前沿讲座，结对指导青年教师，实行三年一聘动态考核管理，学校在工作量认定、职称晋升、进修交流等方面给予政策倾斜，通过企业实践、教研项目、学术交流等方式持续培养，履职不合格、存在师德违纪或重大教学事故者按规定取消任职资格。</w:t>
      </w:r>
    </w:p>
    <w:p w14:paraId="1F623668">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（3）专任教师</w:t>
      </w:r>
    </w:p>
    <w:p w14:paraId="66D0AD7B">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具有教师资格证书；具有动画、数字媒体、艺术设计相关本科等相关专业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社会服务；专业教师每年至少 1 个月在企业或生产性实训基地锻炼，每5年累计不少于6个月的企业实践经历。</w:t>
      </w:r>
    </w:p>
    <w:p w14:paraId="20CDEFAF">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（4）双师型教师</w:t>
      </w:r>
    </w:p>
    <w:p w14:paraId="259CB498">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双师素质教师占专业教师比一般不低于 60%，大学本科以上学历，有教师职业资格证书，具备本专业基础理论知识、专业技术知识、课程开发和专业研究能力，参加各类职业资格考试并到企业顶岗实践，有一定的职业技术教育、生产实践经验和专业技能，独立承担 1～2门专业课程，主持或参与核心课程建设或自治区级以上课题，参与编写实训教材或者专业资源库建设的材料。</w:t>
      </w:r>
    </w:p>
    <w:p w14:paraId="001A2107">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（5）兼职教师</w:t>
      </w:r>
    </w:p>
    <w:p w14:paraId="3D609265">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从广西本地动画公司、游戏研发企业、短视频 MCN 机构选聘，具备中级职称或高级工技能等级；拥有 3 年以上一线原画、建模、后期岗位工作经验；熟悉中职学生教学规律，承担实训授课、项目指导、毕业答辩评审；建立兼职教师课时考核、教研培训管理制度，定期邀请技能大师、非遗工艺美术家开展专题讲座。</w:t>
      </w:r>
    </w:p>
    <w:p w14:paraId="336936FB">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b/>
          <w:bCs/>
          <w:color w:val="auto"/>
          <w:spacing w:val="2"/>
          <w:sz w:val="30"/>
          <w:szCs w:val="30"/>
          <w:lang w:val="en-US" w:eastAsia="zh-CN"/>
        </w:rPr>
      </w:pPr>
      <w:bookmarkStart w:id="29" w:name="_Toc5445"/>
      <w:r>
        <w:rPr>
          <w:rFonts w:hint="eastAsia" w:ascii="Times New Roman" w:hAnsi="Times New Roman" w:eastAsia="仿宋_GB2312" w:cs="Times New Roman"/>
          <w:b/>
          <w:bCs/>
          <w:color w:val="auto"/>
          <w:spacing w:val="2"/>
          <w:sz w:val="30"/>
          <w:szCs w:val="30"/>
          <w:lang w:val="en-US" w:eastAsia="zh-CN"/>
        </w:rPr>
        <w:t>（二）教学设施</w:t>
      </w:r>
      <w:bookmarkEnd w:id="29"/>
    </w:p>
    <w:p w14:paraId="123E834F">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主要包括能够满足正常的课程教学、实习实训所需的专业教室、实训室和实习实训基地。</w:t>
      </w:r>
    </w:p>
    <w:p w14:paraId="6DA0A592">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1.校内实训条件</w:t>
      </w:r>
    </w:p>
    <w:tbl>
      <w:tblPr>
        <w:tblStyle w:val="15"/>
        <w:tblW w:w="88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942"/>
        <w:gridCol w:w="960"/>
        <w:gridCol w:w="2160"/>
        <w:gridCol w:w="1635"/>
        <w:gridCol w:w="1451"/>
      </w:tblGrid>
      <w:tr w14:paraId="47C66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709" w:type="dxa"/>
            <w:vAlign w:val="center"/>
          </w:tcPr>
          <w:p w14:paraId="2A2586C8">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序号</w:t>
            </w:r>
          </w:p>
        </w:tc>
        <w:tc>
          <w:tcPr>
            <w:tcW w:w="1942" w:type="dxa"/>
            <w:vAlign w:val="center"/>
          </w:tcPr>
          <w:p w14:paraId="3734DF06">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6"/>
                <w:sz w:val="24"/>
                <w:szCs w:val="24"/>
              </w:rPr>
              <w:t>实训室名称</w:t>
            </w:r>
          </w:p>
        </w:tc>
        <w:tc>
          <w:tcPr>
            <w:tcW w:w="960" w:type="dxa"/>
            <w:vAlign w:val="center"/>
          </w:tcPr>
          <w:p w14:paraId="2E56DB1F">
            <w:pPr>
              <w:pStyle w:val="14"/>
              <w:keepNext w:val="0"/>
              <w:keepLines w:val="0"/>
              <w:pageBreakBefore w:val="0"/>
              <w:wordWrap/>
              <w:overflowPunct/>
              <w:topLinePunct w:val="0"/>
              <w:bidi w:val="0"/>
              <w:spacing w:line="540" w:lineRule="exact"/>
              <w:ind w:left="0" w:right="273"/>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10"/>
                <w:sz w:val="24"/>
                <w:szCs w:val="24"/>
              </w:rPr>
              <w:t>工位</w:t>
            </w:r>
            <w:r>
              <w:rPr>
                <w:rFonts w:hint="eastAsia" w:ascii="Times New Roman" w:hAnsi="Times New Roman" w:eastAsia="仿宋_GB2312" w:cs="Times New Roman"/>
                <w:b/>
                <w:bCs/>
                <w:color w:val="auto"/>
                <w:spacing w:val="-2"/>
                <w:sz w:val="24"/>
                <w:szCs w:val="24"/>
              </w:rPr>
              <w:t>（人）</w:t>
            </w:r>
          </w:p>
        </w:tc>
        <w:tc>
          <w:tcPr>
            <w:tcW w:w="2160" w:type="dxa"/>
            <w:vAlign w:val="center"/>
          </w:tcPr>
          <w:p w14:paraId="7F4DD192">
            <w:pPr>
              <w:pStyle w:val="14"/>
              <w:keepNext w:val="0"/>
              <w:keepLines w:val="0"/>
              <w:pageBreakBefore w:val="0"/>
              <w:wordWrap/>
              <w:overflowPunct/>
              <w:topLinePunct w:val="0"/>
              <w:bidi w:val="0"/>
              <w:spacing w:line="540" w:lineRule="exact"/>
              <w:ind w:left="0" w:right="152" w:firstLine="9"/>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b/>
                <w:bCs/>
                <w:color w:val="auto"/>
                <w:spacing w:val="-4"/>
                <w:sz w:val="24"/>
                <w:szCs w:val="24"/>
                <w:lang w:val="en-US" w:eastAsia="zh-CN"/>
              </w:rPr>
              <w:t>主要设备及软件</w:t>
            </w:r>
          </w:p>
        </w:tc>
        <w:tc>
          <w:tcPr>
            <w:tcW w:w="1635" w:type="dxa"/>
            <w:vAlign w:val="center"/>
          </w:tcPr>
          <w:p w14:paraId="55DB0BCE">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主要实训项目</w:t>
            </w:r>
          </w:p>
        </w:tc>
        <w:tc>
          <w:tcPr>
            <w:tcW w:w="1451" w:type="dxa"/>
            <w:vAlign w:val="center"/>
          </w:tcPr>
          <w:p w14:paraId="62E72A58">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服务课程</w:t>
            </w:r>
          </w:p>
        </w:tc>
      </w:tr>
      <w:tr w14:paraId="0EEE7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709" w:type="dxa"/>
            <w:vAlign w:val="center"/>
          </w:tcPr>
          <w:p w14:paraId="2B94153F">
            <w:pPr>
              <w:pStyle w:val="14"/>
              <w:keepNext w:val="0"/>
              <w:keepLines w:val="0"/>
              <w:pageBreakBefore w:val="0"/>
              <w:wordWrap/>
              <w:overflowPunct/>
              <w:topLinePunct w:val="0"/>
              <w:bidi w:val="0"/>
              <w:spacing w:line="540" w:lineRule="exact"/>
              <w:ind w:left="0" w:leftChars="0"/>
              <w:jc w:val="center"/>
              <w:rPr>
                <w:rFonts w:hint="eastAsia" w:ascii="Times New Roman" w:hAnsi="Times New Roman" w:eastAsia="仿宋_GB2312" w:cs="Times New Roman"/>
                <w:color w:val="auto"/>
                <w:sz w:val="24"/>
                <w:szCs w:val="24"/>
                <w:lang w:val="en-US" w:eastAsia="zh-CN"/>
              </w:rPr>
            </w:pPr>
          </w:p>
          <w:p w14:paraId="33BB5005">
            <w:pPr>
              <w:pStyle w:val="14"/>
              <w:keepNext w:val="0"/>
              <w:keepLines w:val="0"/>
              <w:pageBreakBefore w:val="0"/>
              <w:wordWrap/>
              <w:overflowPunct/>
              <w:topLinePunct w:val="0"/>
              <w:bidi w:val="0"/>
              <w:spacing w:line="540" w:lineRule="exact"/>
              <w:ind w:firstLine="240" w:firstLineChars="100"/>
              <w:jc w:val="both"/>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w:t>
            </w:r>
          </w:p>
        </w:tc>
        <w:tc>
          <w:tcPr>
            <w:tcW w:w="1942" w:type="dxa"/>
            <w:vAlign w:val="center"/>
          </w:tcPr>
          <w:p w14:paraId="079088FF">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p>
          <w:p w14:paraId="2255292D">
            <w:pPr>
              <w:pStyle w:val="14"/>
              <w:keepNext w:val="0"/>
              <w:keepLines w:val="0"/>
              <w:pageBreakBefore w:val="0"/>
              <w:wordWrap/>
              <w:overflowPunct/>
              <w:topLinePunct w:val="0"/>
              <w:bidi w:val="0"/>
              <w:spacing w:line="540" w:lineRule="exact"/>
              <w:ind w:left="0" w:leftChars="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5"/>
                <w:sz w:val="24"/>
                <w:szCs w:val="24"/>
                <w:lang w:val="en-US" w:eastAsia="zh-CN"/>
              </w:rPr>
              <w:t>综合</w:t>
            </w:r>
            <w:r>
              <w:rPr>
                <w:rFonts w:hint="eastAsia" w:ascii="Times New Roman" w:hAnsi="Times New Roman" w:eastAsia="仿宋_GB2312" w:cs="Times New Roman"/>
                <w:color w:val="auto"/>
                <w:spacing w:val="-5"/>
                <w:sz w:val="24"/>
                <w:szCs w:val="24"/>
              </w:rPr>
              <w:t>实训室</w:t>
            </w:r>
            <w:r>
              <w:rPr>
                <w:rFonts w:hint="eastAsia" w:ascii="Times New Roman" w:hAnsi="Times New Roman" w:eastAsia="仿宋_GB2312" w:cs="Times New Roman"/>
                <w:color w:val="auto"/>
                <w:spacing w:val="-5"/>
                <w:sz w:val="24"/>
                <w:szCs w:val="24"/>
                <w:lang w:val="en-US" w:eastAsia="zh-CN"/>
              </w:rPr>
              <w:t>4-2</w:t>
            </w:r>
          </w:p>
        </w:tc>
        <w:tc>
          <w:tcPr>
            <w:tcW w:w="960" w:type="dxa"/>
            <w:vAlign w:val="center"/>
          </w:tcPr>
          <w:p w14:paraId="2E4AB930">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rPr>
            </w:pPr>
          </w:p>
          <w:p w14:paraId="4EEC7796">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30</w:t>
            </w:r>
          </w:p>
        </w:tc>
        <w:tc>
          <w:tcPr>
            <w:tcW w:w="2160" w:type="dxa"/>
            <w:vAlign w:val="top"/>
          </w:tcPr>
          <w:p w14:paraId="7CF29586">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高性能图形工作站30台，</w:t>
            </w:r>
            <w:r>
              <w:rPr>
                <w:rFonts w:hint="eastAsia" w:ascii="Times New Roman" w:hAnsi="Times New Roman" w:eastAsia="仿宋" w:cs="Times New Roman"/>
                <w:color w:val="auto"/>
                <w:sz w:val="24"/>
                <w:szCs w:val="24"/>
                <w:lang w:val="en-US" w:eastAsia="zh-CN"/>
              </w:rPr>
              <w:t>Wacom</w:t>
            </w:r>
            <w:r>
              <w:rPr>
                <w:rFonts w:hint="eastAsia" w:ascii="Times New Roman" w:hAnsi="Times New Roman" w:eastAsia="仿宋_GB2312" w:cs="Times New Roman"/>
                <w:color w:val="auto"/>
                <w:sz w:val="24"/>
                <w:szCs w:val="24"/>
                <w:lang w:val="en-US" w:eastAsia="zh-CN"/>
              </w:rPr>
              <w:t>数位板30块</w:t>
            </w:r>
          </w:p>
          <w:p w14:paraId="0745CBA9">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p>
        </w:tc>
        <w:tc>
          <w:tcPr>
            <w:tcW w:w="1635" w:type="dxa"/>
            <w:vAlign w:val="top"/>
          </w:tcPr>
          <w:p w14:paraId="0F33590D">
            <w:pPr>
              <w:pStyle w:val="14"/>
              <w:keepNext w:val="0"/>
              <w:keepLines w:val="0"/>
              <w:pageBreakBefore w:val="0"/>
              <w:wordWrap/>
              <w:overflowPunct/>
              <w:topLinePunct w:val="0"/>
              <w:bidi w:val="0"/>
              <w:spacing w:line="540" w:lineRule="exact"/>
              <w:ind w:left="0" w:leftChars="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职业技能等级证书培训、电脑插画绘制、游戏角色与场景绘制、贴图绘制</w:t>
            </w:r>
          </w:p>
        </w:tc>
        <w:tc>
          <w:tcPr>
            <w:tcW w:w="1451" w:type="dxa"/>
            <w:vAlign w:val="top"/>
          </w:tcPr>
          <w:p w14:paraId="37A51FE4">
            <w:pPr>
              <w:keepNext w:val="0"/>
              <w:keepLines w:val="0"/>
              <w:pageBreakBefore w:val="0"/>
              <w:wordWrap/>
              <w:overflowPunct/>
              <w:topLinePunct w:val="0"/>
              <w:bidi w:val="0"/>
              <w:spacing w:line="540" w:lineRule="exact"/>
              <w:ind w:left="0"/>
              <w:jc w:val="both"/>
              <w:rPr>
                <w:rFonts w:hint="eastAsia" w:ascii="Times New Roman" w:hAnsi="Times New Roman" w:eastAsia="仿宋_GB2312" w:cs="Times New Roman"/>
                <w:color w:val="auto"/>
                <w:sz w:val="24"/>
                <w:szCs w:val="24"/>
              </w:rPr>
            </w:pPr>
          </w:p>
          <w:p w14:paraId="3B7AA433">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游戏美术设计、插画设计、贴图绘制</w:t>
            </w:r>
          </w:p>
        </w:tc>
      </w:tr>
      <w:tr w14:paraId="672DB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jc w:val="center"/>
        </w:trPr>
        <w:tc>
          <w:tcPr>
            <w:tcW w:w="709" w:type="dxa"/>
            <w:vAlign w:val="center"/>
          </w:tcPr>
          <w:p w14:paraId="103ED4DC">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1942" w:type="dxa"/>
            <w:vAlign w:val="center"/>
          </w:tcPr>
          <w:p w14:paraId="6AE21837">
            <w:pPr>
              <w:pStyle w:val="14"/>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综合实训室401</w:t>
            </w:r>
          </w:p>
        </w:tc>
        <w:tc>
          <w:tcPr>
            <w:tcW w:w="960" w:type="dxa"/>
            <w:vAlign w:val="center"/>
          </w:tcPr>
          <w:p w14:paraId="260362F3">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31</w:t>
            </w:r>
          </w:p>
        </w:tc>
        <w:tc>
          <w:tcPr>
            <w:tcW w:w="2160" w:type="dxa"/>
            <w:vAlign w:val="top"/>
          </w:tcPr>
          <w:p w14:paraId="5B55DCAA">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高性能图形工作站31台，图形处理软件、影视后期软件31套、单反相机2台，运动相机27台。</w:t>
            </w:r>
          </w:p>
        </w:tc>
        <w:tc>
          <w:tcPr>
            <w:tcW w:w="1635" w:type="dxa"/>
            <w:vAlign w:val="top"/>
          </w:tcPr>
          <w:p w14:paraId="29CCED71">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图形图像处理、影视后期制作、短视频拍摄与制作</w:t>
            </w:r>
          </w:p>
        </w:tc>
        <w:tc>
          <w:tcPr>
            <w:tcW w:w="1451" w:type="dxa"/>
            <w:vAlign w:val="top"/>
          </w:tcPr>
          <w:p w14:paraId="618A9C11">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图像图像处理、游戏界面制作、摄影摄像、短视频策划与制作、影视后期编辑（Pr、AE)</w:t>
            </w:r>
          </w:p>
        </w:tc>
      </w:tr>
      <w:tr w14:paraId="6351B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56B19C79">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position w:val="1"/>
                <w:sz w:val="24"/>
                <w:szCs w:val="24"/>
              </w:rPr>
              <w:t>3</w:t>
            </w:r>
          </w:p>
        </w:tc>
        <w:tc>
          <w:tcPr>
            <w:tcW w:w="1942" w:type="dxa"/>
            <w:vAlign w:val="center"/>
          </w:tcPr>
          <w:p w14:paraId="0393DB38">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rPr>
            </w:pPr>
          </w:p>
          <w:p w14:paraId="54E31832">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rPr>
            </w:pPr>
          </w:p>
          <w:p w14:paraId="6DEDD435">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综合实训室302</w:t>
            </w:r>
          </w:p>
          <w:p w14:paraId="34E74FE6">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p>
          <w:p w14:paraId="4968E06F">
            <w:pPr>
              <w:pStyle w:val="14"/>
              <w:keepNext w:val="0"/>
              <w:keepLines w:val="0"/>
              <w:pageBreakBefore w:val="0"/>
              <w:wordWrap/>
              <w:overflowPunct/>
              <w:topLinePunct w:val="0"/>
              <w:bidi w:val="0"/>
              <w:spacing w:line="540" w:lineRule="exact"/>
              <w:ind w:left="0"/>
              <w:jc w:val="both"/>
              <w:rPr>
                <w:rFonts w:hint="eastAsia" w:ascii="Times New Roman" w:hAnsi="Times New Roman" w:eastAsia="仿宋_GB2312" w:cs="Times New Roman"/>
                <w:color w:val="auto"/>
                <w:sz w:val="24"/>
                <w:szCs w:val="24"/>
              </w:rPr>
            </w:pPr>
          </w:p>
        </w:tc>
        <w:tc>
          <w:tcPr>
            <w:tcW w:w="960" w:type="dxa"/>
            <w:vAlign w:val="center"/>
          </w:tcPr>
          <w:p w14:paraId="068E2C84">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35</w:t>
            </w:r>
          </w:p>
        </w:tc>
        <w:tc>
          <w:tcPr>
            <w:tcW w:w="2160" w:type="dxa"/>
            <w:vAlign w:val="top"/>
          </w:tcPr>
          <w:p w14:paraId="0DD9C7D2">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高性能图形工作站35台，二维、三维动画制作软件35套，游戏引擎软件35套</w:t>
            </w:r>
          </w:p>
        </w:tc>
        <w:tc>
          <w:tcPr>
            <w:tcW w:w="1635" w:type="dxa"/>
            <w:vAlign w:val="top"/>
          </w:tcPr>
          <w:p w14:paraId="1A027BBE">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二维、三维动画制作</w:t>
            </w:r>
          </w:p>
        </w:tc>
        <w:tc>
          <w:tcPr>
            <w:tcW w:w="1451" w:type="dxa"/>
            <w:vAlign w:val="top"/>
          </w:tcPr>
          <w:p w14:paraId="5399EB87">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二维动画制作、三维建模、三维动画制作、游戏制作</w:t>
            </w:r>
          </w:p>
        </w:tc>
      </w:tr>
      <w:tr w14:paraId="22729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6A1F661F">
            <w:pPr>
              <w:pStyle w:val="14"/>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position w:val="1"/>
                <w:sz w:val="24"/>
                <w:szCs w:val="24"/>
                <w:lang w:val="en-US" w:eastAsia="zh-CN"/>
              </w:rPr>
            </w:pPr>
            <w:r>
              <w:rPr>
                <w:rFonts w:hint="eastAsia" w:ascii="Times New Roman" w:hAnsi="Times New Roman" w:eastAsia="仿宋_GB2312" w:cs="Times New Roman"/>
                <w:color w:val="auto"/>
                <w:position w:val="1"/>
                <w:sz w:val="24"/>
                <w:szCs w:val="24"/>
                <w:lang w:val="en-US" w:eastAsia="zh-CN"/>
              </w:rPr>
              <w:t>4</w:t>
            </w:r>
          </w:p>
        </w:tc>
        <w:tc>
          <w:tcPr>
            <w:tcW w:w="1942" w:type="dxa"/>
            <w:vAlign w:val="center"/>
          </w:tcPr>
          <w:p w14:paraId="30DED55C">
            <w:pPr>
              <w:pStyle w:val="14"/>
              <w:keepNext w:val="0"/>
              <w:keepLines w:val="0"/>
              <w:pageBreakBefore w:val="0"/>
              <w:wordWrap/>
              <w:overflowPunct/>
              <w:topLinePunct w:val="0"/>
              <w:bidi w:val="0"/>
              <w:spacing w:line="540" w:lineRule="exact"/>
              <w:ind w:left="0" w:firstLine="720" w:firstLineChars="300"/>
              <w:jc w:val="both"/>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画室</w:t>
            </w:r>
          </w:p>
        </w:tc>
        <w:tc>
          <w:tcPr>
            <w:tcW w:w="960" w:type="dxa"/>
            <w:vAlign w:val="center"/>
          </w:tcPr>
          <w:p w14:paraId="21ADE683">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c>
          <w:tcPr>
            <w:tcW w:w="2160" w:type="dxa"/>
            <w:vAlign w:val="top"/>
          </w:tcPr>
          <w:p w14:paraId="252A0DFC">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画架60套、静物台4套、石膏几何体、静物模型等若干。</w:t>
            </w:r>
          </w:p>
        </w:tc>
        <w:tc>
          <w:tcPr>
            <w:tcW w:w="1635" w:type="dxa"/>
            <w:vAlign w:val="top"/>
          </w:tcPr>
          <w:p w14:paraId="42E254AF">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石膏几何体素描写生与临摹、色彩静物写生与临摹</w:t>
            </w:r>
          </w:p>
        </w:tc>
        <w:tc>
          <w:tcPr>
            <w:tcW w:w="1451" w:type="dxa"/>
            <w:vAlign w:val="top"/>
          </w:tcPr>
          <w:p w14:paraId="66BA4D24">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素描、色彩</w:t>
            </w:r>
          </w:p>
        </w:tc>
      </w:tr>
      <w:tr w14:paraId="0DE91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431B1C2D">
            <w:pPr>
              <w:pStyle w:val="14"/>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position w:val="1"/>
                <w:sz w:val="24"/>
                <w:szCs w:val="24"/>
                <w:lang w:val="en-US" w:eastAsia="zh-CN"/>
              </w:rPr>
            </w:pPr>
            <w:r>
              <w:rPr>
                <w:rFonts w:hint="eastAsia" w:ascii="Times New Roman" w:hAnsi="Times New Roman" w:eastAsia="仿宋_GB2312" w:cs="Times New Roman"/>
                <w:color w:val="auto"/>
                <w:position w:val="1"/>
                <w:sz w:val="24"/>
                <w:szCs w:val="24"/>
                <w:lang w:val="en-US" w:eastAsia="zh-CN"/>
              </w:rPr>
              <w:t>5</w:t>
            </w:r>
          </w:p>
        </w:tc>
        <w:tc>
          <w:tcPr>
            <w:tcW w:w="1942" w:type="dxa"/>
            <w:vAlign w:val="center"/>
          </w:tcPr>
          <w:p w14:paraId="386B9B54">
            <w:pPr>
              <w:pStyle w:val="14"/>
              <w:keepNext w:val="0"/>
              <w:keepLines w:val="0"/>
              <w:pageBreakBefore w:val="0"/>
              <w:wordWrap/>
              <w:overflowPunct/>
              <w:topLinePunct w:val="0"/>
              <w:bidi w:val="0"/>
              <w:spacing w:line="540" w:lineRule="exact"/>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 xml:space="preserve">    综合教室</w:t>
            </w:r>
          </w:p>
        </w:tc>
        <w:tc>
          <w:tcPr>
            <w:tcW w:w="960" w:type="dxa"/>
            <w:vAlign w:val="center"/>
          </w:tcPr>
          <w:p w14:paraId="37906D6C">
            <w:pPr>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c>
          <w:tcPr>
            <w:tcW w:w="2160" w:type="dxa"/>
            <w:vAlign w:val="top"/>
          </w:tcPr>
          <w:p w14:paraId="64D0E9D2">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绘画桌椅60套、一体机2台、储物柜2排</w:t>
            </w:r>
          </w:p>
        </w:tc>
        <w:tc>
          <w:tcPr>
            <w:tcW w:w="1635" w:type="dxa"/>
            <w:vAlign w:val="top"/>
          </w:tcPr>
          <w:p w14:paraId="591118FC">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平面构成、色彩构成绘画，立体构成制作，手绘插画绘制</w:t>
            </w:r>
          </w:p>
        </w:tc>
        <w:tc>
          <w:tcPr>
            <w:tcW w:w="1451" w:type="dxa"/>
            <w:vAlign w:val="top"/>
          </w:tcPr>
          <w:p w14:paraId="6EFC1C96">
            <w:pPr>
              <w:pStyle w:val="14"/>
              <w:keepNext w:val="0"/>
              <w:keepLines w:val="0"/>
              <w:pageBreakBefore w:val="0"/>
              <w:wordWrap/>
              <w:overflowPunct/>
              <w:topLinePunct w:val="0"/>
              <w:bidi w:val="0"/>
              <w:spacing w:line="540" w:lineRule="exact"/>
              <w:ind w:left="0"/>
              <w:jc w:val="both"/>
              <w:rPr>
                <w:rFonts w:hint="default"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设计构成、手绘插画、新闻学基础</w:t>
            </w:r>
          </w:p>
        </w:tc>
      </w:tr>
    </w:tbl>
    <w:p w14:paraId="0532CA8A">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2.校外实训基地基本要求</w:t>
      </w:r>
    </w:p>
    <w:p w14:paraId="71D225FA">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（1）‌基地选择标准‌</w:t>
      </w:r>
    </w:p>
    <w:p w14:paraId="755E00EB">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‌行业覆盖‌：优先合作动漫公司、游戏企业、影视制作中心等，岗位需涵盖动画设计、游戏美工、影视后期等方向‌。</w:t>
      </w:r>
    </w:p>
    <w:p w14:paraId="7D41BC15">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‌技术匹配‌：企业技术需与教学标准同步，如应用主流三维建模、虚拟引擎等工具‌。</w:t>
      </w:r>
    </w:p>
    <w:p w14:paraId="5C3A3607">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（2）‌管理规范‌</w:t>
      </w:r>
    </w:p>
    <w:p w14:paraId="6E54898F">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‌稳定性‌：基地应具备长期合作能力，保障学生实习周期完整‌。</w:t>
      </w:r>
    </w:p>
    <w:p w14:paraId="28B67025">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‌产教融合‌：校企联合制定实习计划，安排企业导师参与指导，实现技能与岗位需求无缝对接‌。</w:t>
      </w:r>
    </w:p>
    <w:p w14:paraId="14F6954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（3）‌岗位与技能衔接‌</w:t>
      </w:r>
    </w:p>
    <w:p w14:paraId="2912F11F">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实习内容需对应动漫与游戏制作相关岗位用人要求，强化学生岗位适应能力‌。</w:t>
      </w:r>
    </w:p>
    <w:p w14:paraId="5A8C2221">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b/>
          <w:bCs/>
          <w:color w:val="auto"/>
          <w:spacing w:val="2"/>
          <w:sz w:val="30"/>
          <w:szCs w:val="30"/>
        </w:rPr>
      </w:pPr>
      <w:bookmarkStart w:id="30" w:name="_Toc17550"/>
      <w:r>
        <w:rPr>
          <w:rFonts w:hint="eastAsia" w:ascii="Times New Roman" w:hAnsi="Times New Roman" w:eastAsia="仿宋_GB2312" w:cs="Times New Roman"/>
          <w:b/>
          <w:bCs/>
          <w:color w:val="auto"/>
          <w:spacing w:val="2"/>
          <w:sz w:val="30"/>
          <w:szCs w:val="30"/>
        </w:rPr>
        <w:t>（三）教学资源</w:t>
      </w:r>
      <w:bookmarkEnd w:id="30"/>
    </w:p>
    <w:p w14:paraId="210CA5F3">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主要包括能够满足学生专业学习、教师专业教学研究和教学实施需要的教材、图书及数字化资源等。</w:t>
      </w:r>
    </w:p>
    <w:p w14:paraId="58B7113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1.教材选用基本要求</w:t>
      </w:r>
    </w:p>
    <w:p w14:paraId="10993D28">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按照国家规定，经过规范程序选用教材，优先选用动漫、数字媒体类国家规划教材和国家优秀教材。专业课程教材应体现本行业新技术、新规范、新标准、新形态，每年更新 AIGC、游戏引擎、短视频新技术配套讲义，淘汰老旧软件版本教材、并通过数字教材、活页式教材、校企联合编写校本特色教材等多种方式进行动态更新。</w:t>
      </w:r>
    </w:p>
    <w:p w14:paraId="54746CEA">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2.图书文献配备基本要求</w:t>
      </w:r>
    </w:p>
    <w:p w14:paraId="12651BF7">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图书文献配备能满足人才培养、专业建设、教科研等工作的需要。专业类图书文献主要包括：有关动漫原画、三维建模、影视后期、AIGC 创意、游戏设计、数字插画、文创设计类技术、方法、思维及实务操作类图书，及时配置新技术、新工艺等相关的图书文献。</w:t>
      </w:r>
    </w:p>
    <w:p w14:paraId="2436E850">
      <w:pPr>
        <w:keepNext w:val="0"/>
        <w:keepLines w:val="0"/>
        <w:pageBreakBefore w:val="0"/>
        <w:wordWrap/>
        <w:overflowPunct/>
        <w:topLinePunct w:val="0"/>
        <w:bidi w:val="0"/>
        <w:spacing w:line="540" w:lineRule="exact"/>
        <w:ind w:left="0" w:firstLine="600" w:firstLineChars="200"/>
        <w:jc w:val="left"/>
        <w:rPr>
          <w:rFonts w:hint="default"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3.软件资源</w:t>
      </w:r>
    </w:p>
    <w:p w14:paraId="0F117B92">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行业标准软件体系：Adobe PS、AI、AE、Animate、Premiere、Blender、Substance Painter、CSP 优动漫、SAI、剪映专业版、主流 AI绘图客户端；每年统一升级软件至稳定新版；搭建校内云端资源库，存储原画素材、三维模型、动画工程文件、教学案例、AI 提示词素材，师生账号共享使用。</w:t>
      </w:r>
    </w:p>
    <w:p w14:paraId="7BD31E45">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3．数字教学资源配置基本要求</w:t>
      </w:r>
    </w:p>
    <w:p w14:paraId="75E6B090">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31" w:name="_Toc24947"/>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建设专业教学资源库：包含全套课程课件、实操教学视频、分镜头案例、三维模型素材、历年学生优秀毕业设计作品集；配套线上题库、在线作业批改；资源库每学期更新行业新项目案例、AIGC 教学素材，动态适配行业技术迭代。</w:t>
      </w:r>
      <w:bookmarkEnd w:id="31"/>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资源库同步收录广西非遗、民族美育素材，支撑 “美 +” 本土文创创作教学。</w:t>
      </w:r>
    </w:p>
    <w:p w14:paraId="68FA4ECF">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b/>
          <w:bCs/>
          <w:color w:val="auto"/>
          <w:spacing w:val="2"/>
          <w:sz w:val="30"/>
          <w:szCs w:val="30"/>
        </w:rPr>
      </w:pPr>
      <w:bookmarkStart w:id="32" w:name="_Toc32682"/>
      <w:r>
        <w:rPr>
          <w:rFonts w:hint="eastAsia" w:ascii="Times New Roman" w:hAnsi="Times New Roman" w:eastAsia="仿宋_GB2312" w:cs="Times New Roman"/>
          <w:b/>
          <w:bCs/>
          <w:color w:val="auto"/>
          <w:spacing w:val="2"/>
          <w:sz w:val="30"/>
          <w:szCs w:val="30"/>
        </w:rPr>
        <w:t>（四）教学方法</w:t>
      </w:r>
      <w:bookmarkEnd w:id="32"/>
    </w:p>
    <w:p w14:paraId="3FDADC70">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162B26E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bookmarkStart w:id="33" w:name="_Toc28169"/>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专业技能课：全面推行岗课赛证融合、做中学做中教，以真实企业项目为载体开展项目教学、案例教学、实训室现场教学；引入企业真实需求布置实训任务；开设技能竞赛集训课程，对接区级动漫大赛、数字创意竞赛；强化安全生产、版权规范、项目标准化操作训练；分组完成团队创作任务，培养沟通协作、质量管控意识。</w:t>
      </w:r>
      <w:bookmarkEnd w:id="33"/>
    </w:p>
    <w:p w14:paraId="5376BA2F">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b/>
          <w:bCs/>
          <w:color w:val="auto"/>
          <w:spacing w:val="2"/>
          <w:sz w:val="30"/>
          <w:szCs w:val="30"/>
          <w:lang w:val="en-US" w:eastAsia="zh-CN"/>
        </w:rPr>
      </w:pPr>
      <w:bookmarkStart w:id="34" w:name="_Toc28703"/>
      <w:r>
        <w:rPr>
          <w:rFonts w:hint="eastAsia" w:ascii="Times New Roman" w:hAnsi="Times New Roman" w:eastAsia="仿宋_GB2312" w:cs="Times New Roman"/>
          <w:b/>
          <w:bCs/>
          <w:color w:val="auto"/>
          <w:spacing w:val="2"/>
          <w:sz w:val="30"/>
          <w:szCs w:val="30"/>
          <w:lang w:val="en-US" w:eastAsia="zh-CN"/>
        </w:rPr>
        <w:t>（五）学习评价</w:t>
      </w:r>
      <w:bookmarkEnd w:id="34"/>
    </w:p>
    <w:p w14:paraId="539BC14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1.注重过程性考核：每门课程过程考核占总成绩 60%，包含课堂手绘作业、软件实操练习、阶段性小项目、课堂出勤、小组协作表现；期末成果考核占40%，以完整原画、动画、短片、模型作品为考核载体。</w:t>
      </w:r>
    </w:p>
    <w:p w14:paraId="09DEF7AE">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2.注重职业素质评价：将版权意识、作品规范、团队配合、工具设备爱护、实训环境卫生纳入日常评分，对标企业员工行为规范考核学生职业习惯。</w:t>
      </w:r>
    </w:p>
    <w:p w14:paraId="2172FC9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3.注重能力评价：弱化纯理论笔试，专业课程以实操作品、项目落地、作品集质量为核心评价依据，重点考核创意设计、软件实操、项目落地综合能力。</w:t>
      </w:r>
    </w:p>
    <w:p w14:paraId="065CBB9E">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4.多主体评价：评价主体包含任课教师、小组互评、企业导师（实训、实习阶段）、校外评委；毕业设计、顶岗实习引入企业技术负责人参与打分，实现校企多元评价。</w:t>
      </w:r>
    </w:p>
    <w:p w14:paraId="6649E959">
      <w:pPr>
        <w:keepNext w:val="0"/>
        <w:keepLines w:val="0"/>
        <w:pageBreakBefore w:val="0"/>
        <w:wordWrap/>
        <w:overflowPunct/>
        <w:topLinePunct w:val="0"/>
        <w:bidi w:val="0"/>
        <w:spacing w:line="540" w:lineRule="exact"/>
        <w:ind w:left="0" w:firstLine="610" w:firstLineChars="200"/>
        <w:outlineLvl w:val="1"/>
        <w:rPr>
          <w:rFonts w:hint="eastAsia" w:ascii="Times New Roman" w:hAnsi="Times New Roman" w:eastAsia="仿宋_GB2312" w:cs="Times New Roman"/>
          <w:b/>
          <w:bCs/>
          <w:color w:val="auto"/>
          <w:spacing w:val="2"/>
          <w:sz w:val="30"/>
          <w:szCs w:val="30"/>
        </w:rPr>
      </w:pPr>
      <w:bookmarkStart w:id="35" w:name="_Toc850"/>
      <w:r>
        <w:rPr>
          <w:rFonts w:hint="eastAsia" w:ascii="Times New Roman" w:hAnsi="Times New Roman" w:eastAsia="仿宋_GB2312" w:cs="Times New Roman"/>
          <w:b/>
          <w:bCs/>
          <w:color w:val="auto"/>
          <w:spacing w:val="2"/>
          <w:sz w:val="30"/>
          <w:szCs w:val="30"/>
        </w:rPr>
        <w:t>（六）质量管理</w:t>
      </w:r>
      <w:bookmarkEnd w:id="35"/>
    </w:p>
    <w:p w14:paraId="07148431">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1.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79024A99">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2.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1837BF26">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3.专业教学团队固定每月集体备课，同步更新项目案例、实训任务单；根据学期评价数据调整教学重难点，动态优化课程学时与教学内容，持续提升技能匹配度。</w:t>
      </w:r>
    </w:p>
    <w:p w14:paraId="4105BC1A">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仿宋_GB2312" w:cs="Times New Roman"/>
          <w:color w:val="auto"/>
          <w:sz w:val="30"/>
          <w:szCs w:val="30"/>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4.建立毕业生跟踪反馈长效机制：毕业 1 年、3 年回访就业单位与学生，收集岗位技能需求、薪资、职业发展反馈；结合升学院校反馈，每年修订人才培养方案，动态调整课程设置、实训项目。</w:t>
      </w:r>
    </w:p>
    <w:p w14:paraId="7C8F887A">
      <w:pPr>
        <w:keepNext w:val="0"/>
        <w:keepLines w:val="0"/>
        <w:pageBreakBefore w:val="0"/>
        <w:wordWrap/>
        <w:overflowPunct/>
        <w:topLinePunct w:val="0"/>
        <w:bidi w:val="0"/>
        <w:spacing w:line="540" w:lineRule="exact"/>
        <w:ind w:left="0" w:firstLine="620" w:firstLineChars="200"/>
        <w:outlineLvl w:val="0"/>
        <w:rPr>
          <w:rFonts w:hint="eastAsia" w:ascii="Times New Roman" w:hAnsi="Times New Roman" w:eastAsia="黑体" w:cs="Times New Roman"/>
          <w:b w:val="0"/>
          <w:bCs w:val="0"/>
          <w:color w:val="auto"/>
          <w:spacing w:val="5"/>
          <w:sz w:val="30"/>
          <w:szCs w:val="30"/>
        </w:rPr>
      </w:pPr>
      <w:bookmarkStart w:id="36" w:name="_Toc32307"/>
      <w:r>
        <w:rPr>
          <w:rFonts w:hint="eastAsia" w:ascii="Times New Roman" w:hAnsi="Times New Roman" w:eastAsia="黑体" w:cs="Times New Roman"/>
          <w:b w:val="0"/>
          <w:bCs w:val="0"/>
          <w:color w:val="auto"/>
          <w:spacing w:val="5"/>
          <w:sz w:val="30"/>
          <w:szCs w:val="30"/>
          <w:lang w:val="en-US" w:eastAsia="zh-CN"/>
        </w:rPr>
        <w:t>九</w:t>
      </w:r>
      <w:r>
        <w:rPr>
          <w:rFonts w:hint="eastAsia" w:ascii="Times New Roman" w:hAnsi="Times New Roman" w:eastAsia="黑体" w:cs="Times New Roman"/>
          <w:b w:val="0"/>
          <w:bCs w:val="0"/>
          <w:color w:val="auto"/>
          <w:spacing w:val="5"/>
          <w:sz w:val="30"/>
          <w:szCs w:val="30"/>
        </w:rPr>
        <w:t>、毕业要求</w:t>
      </w:r>
      <w:bookmarkEnd w:id="36"/>
    </w:p>
    <w:p w14:paraId="01306DA0">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根据专业人才培养方案确定的目标和培养规格，完成规定的实习实训，全部课程考核合格或修满学分，准予毕业。</w:t>
      </w:r>
    </w:p>
    <w:p w14:paraId="414C8A1B">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565F2D37">
      <w:pPr>
        <w:keepNext w:val="0"/>
        <w:keepLines w:val="0"/>
        <w:pageBreakBefore w:val="0"/>
        <w:wordWrap/>
        <w:overflowPunct/>
        <w:topLinePunct w:val="0"/>
        <w:bidi w:val="0"/>
        <w:spacing w:line="540" w:lineRule="exact"/>
        <w:ind w:left="0" w:firstLine="600" w:firstLineChars="200"/>
        <w:jc w:val="left"/>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仿宋_GB2312" w:cs="Times New Roman"/>
          <w:color w:val="000000" w:themeColor="text1"/>
          <w:sz w:val="30"/>
          <w:szCs w:val="30"/>
          <w:lang w:val="en-US" w:eastAsia="zh-CN"/>
          <w14:textFill>
            <w14:solidFill>
              <w14:schemeClr w14:val="tx1"/>
            </w14:solidFill>
          </w14:textFill>
        </w:rPr>
        <w:t>接受职业培训取得的职业技能等级证书、培训证书等学习成果，经职业学校认定，可以转化为相应的学历教育学分；达到相应职业学校学业要求的，可以取得相应的学业证书。</w:t>
      </w:r>
    </w:p>
    <w:p w14:paraId="6A381137">
      <w:pPr>
        <w:rPr>
          <w:rFonts w:hint="default" w:ascii="Times New Roman" w:hAnsi="Times New Roman" w:eastAsia="仿宋_GB2312" w:cs="Times New Roman"/>
          <w:color w:val="auto"/>
          <w:kern w:val="2"/>
          <w:sz w:val="24"/>
          <w:szCs w:val="24"/>
          <w:lang w:val="en-US" w:eastAsia="zh-CN" w:bidi="ar-SA"/>
        </w:rPr>
      </w:pPr>
    </w:p>
    <w:p w14:paraId="058CFAEE">
      <w:pPr>
        <w:keepNext w:val="0"/>
        <w:keepLines w:val="0"/>
        <w:pageBreakBefore w:val="0"/>
        <w:numPr>
          <w:ilvl w:val="0"/>
          <w:numId w:val="0"/>
        </w:numPr>
        <w:wordWrap/>
        <w:overflowPunct/>
        <w:topLinePunct w:val="0"/>
        <w:bidi w:val="0"/>
        <w:spacing w:line="540" w:lineRule="exact"/>
        <w:ind w:left="0" w:leftChars="0"/>
        <w:jc w:val="left"/>
        <w:rPr>
          <w:rFonts w:hint="eastAsia" w:ascii="Times New Roman" w:hAnsi="Times New Roman" w:eastAsia="仿宋_GB2312" w:cs="Times New Roman"/>
          <w:color w:val="auto"/>
          <w:sz w:val="30"/>
          <w:szCs w:val="30"/>
          <w:lang w:val="en-US" w:eastAsia="zh-CN"/>
        </w:rPr>
      </w:pPr>
    </w:p>
    <w:sectPr>
      <w:footerReference r:id="rId6" w:type="default"/>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9E0D9C-E0B1-4F70-B93C-100D3D7BEB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4BB40D36-D3F4-46EC-B16C-5D57C7C94AA4}"/>
  </w:font>
  <w:font w:name="仿宋">
    <w:panose1 w:val="02010609060101010101"/>
    <w:charset w:val="86"/>
    <w:family w:val="auto"/>
    <w:pitch w:val="default"/>
    <w:sig w:usb0="800002BF" w:usb1="38CF7CFA" w:usb2="00000016" w:usb3="00000000" w:csb0="00040001" w:csb1="00000000"/>
    <w:embedRegular r:id="rId3" w:fontKey="{1FD8B0BF-28A9-4E11-8FE2-2F5CDEB0926F}"/>
  </w:font>
  <w:font w:name="方正小标宋简体">
    <w:panose1 w:val="03000509000000000000"/>
    <w:charset w:val="86"/>
    <w:family w:val="auto"/>
    <w:pitch w:val="default"/>
    <w:sig w:usb0="00000001" w:usb1="080E0000" w:usb2="00000000" w:usb3="00000000" w:csb0="00040000" w:csb1="00000000"/>
    <w:embedRegular r:id="rId4" w:fontKey="{884B2813-65FD-4621-A015-958DE9C63B79}"/>
  </w:font>
  <w:font w:name="Calibri Light">
    <w:panose1 w:val="020F0302020204030204"/>
    <w:charset w:val="00"/>
    <w:family w:val="auto"/>
    <w:pitch w:val="default"/>
    <w:sig w:usb0="E0002AFF" w:usb1="C0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5" w:fontKey="{2A9AA381-B2E5-4402-938F-222B86314D5A}"/>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8D6650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621C9">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E78FB">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CE78FB">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动漫与游戏制作</w:t>
    </w:r>
    <w:r>
      <w:rPr>
        <w:rFonts w:ascii="仿宋_GB2312" w:hAnsi="仿宋_GB2312" w:eastAsia="仿宋_GB2312" w:cs="仿宋_GB2312"/>
        <w:color w:val="000000"/>
        <w:kern w:val="0"/>
        <w:sz w:val="24"/>
        <w:szCs w:val="24"/>
        <w:lang w:val="en-US" w:eastAsia="zh-CN" w:bidi="ar"/>
      </w:rPr>
      <w:t>》专业人才培养方案</w:t>
    </w:r>
  </w:p>
  <w:p w14:paraId="187BBF84">
    <w:pPr>
      <w:pStyle w:val="6"/>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B054B"/>
    <w:rsid w:val="01CC14E8"/>
    <w:rsid w:val="026C6D7F"/>
    <w:rsid w:val="034104E4"/>
    <w:rsid w:val="03C53ADD"/>
    <w:rsid w:val="03F01B56"/>
    <w:rsid w:val="087C2D8F"/>
    <w:rsid w:val="08F94F93"/>
    <w:rsid w:val="09045F63"/>
    <w:rsid w:val="0C32583F"/>
    <w:rsid w:val="0C7D7AE5"/>
    <w:rsid w:val="0DF954AA"/>
    <w:rsid w:val="0F4F318F"/>
    <w:rsid w:val="0FE34B24"/>
    <w:rsid w:val="12BE787A"/>
    <w:rsid w:val="12E16CE4"/>
    <w:rsid w:val="133032AB"/>
    <w:rsid w:val="13962E04"/>
    <w:rsid w:val="13AE7E20"/>
    <w:rsid w:val="15023B03"/>
    <w:rsid w:val="16B212CB"/>
    <w:rsid w:val="1B5851BD"/>
    <w:rsid w:val="1CDA71F6"/>
    <w:rsid w:val="1ED7734D"/>
    <w:rsid w:val="1EFA3A95"/>
    <w:rsid w:val="21422101"/>
    <w:rsid w:val="233A39AD"/>
    <w:rsid w:val="233F1C1A"/>
    <w:rsid w:val="24BE4011"/>
    <w:rsid w:val="27193C93"/>
    <w:rsid w:val="28544133"/>
    <w:rsid w:val="2A4A44F0"/>
    <w:rsid w:val="2CE835EE"/>
    <w:rsid w:val="31ED4599"/>
    <w:rsid w:val="35B70440"/>
    <w:rsid w:val="35BF5C6E"/>
    <w:rsid w:val="388A2694"/>
    <w:rsid w:val="3DDB658B"/>
    <w:rsid w:val="3FEF5955"/>
    <w:rsid w:val="403D6476"/>
    <w:rsid w:val="41105BBC"/>
    <w:rsid w:val="415B3C6B"/>
    <w:rsid w:val="42D61313"/>
    <w:rsid w:val="43060FC9"/>
    <w:rsid w:val="443D7C6A"/>
    <w:rsid w:val="446A0EEF"/>
    <w:rsid w:val="453B20CB"/>
    <w:rsid w:val="456D6845"/>
    <w:rsid w:val="47847E36"/>
    <w:rsid w:val="48B94E63"/>
    <w:rsid w:val="48EE729C"/>
    <w:rsid w:val="4CC037E5"/>
    <w:rsid w:val="4D8C700B"/>
    <w:rsid w:val="4DDD0590"/>
    <w:rsid w:val="4DF962D0"/>
    <w:rsid w:val="4F9C589F"/>
    <w:rsid w:val="50E81293"/>
    <w:rsid w:val="51976F41"/>
    <w:rsid w:val="537D054B"/>
    <w:rsid w:val="54961DE2"/>
    <w:rsid w:val="5702070C"/>
    <w:rsid w:val="59AC3D2B"/>
    <w:rsid w:val="5E4F4B48"/>
    <w:rsid w:val="5E674312"/>
    <w:rsid w:val="5E6D4BE2"/>
    <w:rsid w:val="5EE72968"/>
    <w:rsid w:val="605602B0"/>
    <w:rsid w:val="628D47DB"/>
    <w:rsid w:val="638266CE"/>
    <w:rsid w:val="65591DAB"/>
    <w:rsid w:val="66B772E6"/>
    <w:rsid w:val="67536C00"/>
    <w:rsid w:val="684915CF"/>
    <w:rsid w:val="6A516264"/>
    <w:rsid w:val="6A6B7926"/>
    <w:rsid w:val="6BD9385B"/>
    <w:rsid w:val="6D434713"/>
    <w:rsid w:val="6D9B5E15"/>
    <w:rsid w:val="6EDA244F"/>
    <w:rsid w:val="705C258E"/>
    <w:rsid w:val="72AC0610"/>
    <w:rsid w:val="7722283A"/>
    <w:rsid w:val="77932A0C"/>
    <w:rsid w:val="7D2B3162"/>
    <w:rsid w:val="7FC25F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widowControl/>
      <w:spacing w:line="560" w:lineRule="exact"/>
      <w:ind w:firstLine="0" w:firstLineChars="0"/>
      <w:jc w:val="center"/>
      <w:outlineLvl w:val="0"/>
    </w:pPr>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styleId="3">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2">
    <w:name w:val="Default Paragraph Font"/>
    <w:semiHidden/>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0" w:leftChars="0"/>
      <w:jc w:val="left"/>
    </w:pPr>
    <w:rPr>
      <w:rFonts w:eastAsia="仿宋_GB2312" w:asciiTheme="minorAscii" w:hAnsiTheme="minorAscii"/>
    </w:rPr>
  </w:style>
  <w:style w:type="character" w:customStyle="1" w:styleId="13">
    <w:name w:val="标题 1 字符"/>
    <w:basedOn w:val="12"/>
    <w:link w:val="2"/>
    <w:qFormat/>
    <w:uiPriority w:val="9"/>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customStyle="1" w:styleId="14">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font31"/>
    <w:basedOn w:val="12"/>
    <w:qFormat/>
    <w:uiPriority w:val="0"/>
    <w:rPr>
      <w:rFonts w:hint="default" w:ascii="Times New Roman" w:hAnsi="Times New Roman" w:cs="Times New Roman"/>
      <w:b/>
      <w:bCs/>
      <w:color w:val="000000"/>
      <w:sz w:val="20"/>
      <w:szCs w:val="20"/>
      <w:u w:val="none"/>
    </w:rPr>
  </w:style>
  <w:style w:type="character" w:customStyle="1" w:styleId="17">
    <w:name w:val="font21"/>
    <w:basedOn w:val="12"/>
    <w:qFormat/>
    <w:uiPriority w:val="0"/>
    <w:rPr>
      <w:rFonts w:hint="eastAsia" w:ascii="宋体" w:hAnsi="宋体" w:eastAsia="宋体" w:cs="宋体"/>
      <w:b/>
      <w:bCs/>
      <w:color w:val="000000"/>
      <w:sz w:val="20"/>
      <w:szCs w:val="20"/>
      <w:u w:val="none"/>
    </w:rPr>
  </w:style>
  <w:style w:type="character" w:customStyle="1" w:styleId="18">
    <w:name w:val="font51"/>
    <w:basedOn w:val="12"/>
    <w:qFormat/>
    <w:uiPriority w:val="0"/>
    <w:rPr>
      <w:rFonts w:hint="eastAsia" w:ascii="宋体" w:hAnsi="宋体" w:eastAsia="宋体" w:cs="宋体"/>
      <w:color w:val="000000"/>
      <w:sz w:val="20"/>
      <w:szCs w:val="20"/>
      <w:u w:val="none"/>
    </w:rPr>
  </w:style>
  <w:style w:type="character" w:customStyle="1" w:styleId="19">
    <w:name w:val="font41"/>
    <w:basedOn w:val="12"/>
    <w:qFormat/>
    <w:uiPriority w:val="0"/>
    <w:rPr>
      <w:rFonts w:hint="default" w:ascii="Times New Roman" w:hAnsi="Times New Roman" w:cs="Times New Roman"/>
      <w:color w:val="000000"/>
      <w:sz w:val="20"/>
      <w:szCs w:val="20"/>
      <w:u w:val="none"/>
    </w:rPr>
  </w:style>
  <w:style w:type="character" w:customStyle="1" w:styleId="20">
    <w:name w:val="font61"/>
    <w:basedOn w:val="12"/>
    <w:qFormat/>
    <w:uiPriority w:val="0"/>
    <w:rPr>
      <w:rFonts w:hint="default" w:ascii="Times New Roman" w:hAnsi="Times New Roman" w:cs="Times New Roman"/>
      <w:color w:val="000000"/>
      <w:sz w:val="16"/>
      <w:szCs w:val="16"/>
      <w:u w:val="none"/>
    </w:rPr>
  </w:style>
  <w:style w:type="character" w:customStyle="1" w:styleId="21">
    <w:name w:val="font91"/>
    <w:basedOn w:val="12"/>
    <w:qFormat/>
    <w:uiPriority w:val="0"/>
    <w:rPr>
      <w:rFonts w:hint="eastAsia" w:ascii="宋体" w:hAnsi="宋体" w:eastAsia="宋体" w:cs="宋体"/>
      <w:color w:val="000000"/>
      <w:sz w:val="16"/>
      <w:szCs w:val="16"/>
      <w:u w:val="none"/>
    </w:rPr>
  </w:style>
  <w:style w:type="character" w:customStyle="1" w:styleId="22">
    <w:name w:val="font11"/>
    <w:basedOn w:val="12"/>
    <w:qFormat/>
    <w:uiPriority w:val="0"/>
    <w:rPr>
      <w:rFonts w:hint="default" w:ascii="Times New Roman" w:hAnsi="Times New Roman" w:cs="Times New Roman"/>
      <w:color w:val="000000"/>
      <w:sz w:val="20"/>
      <w:szCs w:val="20"/>
      <w:u w:val="none"/>
    </w:rPr>
  </w:style>
  <w:style w:type="character" w:customStyle="1" w:styleId="23">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2691</Words>
  <Characters>2794</Characters>
  <Lines>0</Lines>
  <Paragraphs>0</Paragraphs>
  <TotalTime>14</TotalTime>
  <ScaleCrop>false</ScaleCrop>
  <LinksUpToDate>false</LinksUpToDate>
  <CharactersWithSpaces>2900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2026-03-17T01:58:00Z</dcterms:created>
  <dc:creator>半夏半暖</dc:creator>
  <cp:lastModifiedBy>噜噜小</cp:lastModifiedBy>
  <dcterms:modified xsi:type="dcterms:W3CDTF">2026-09-12T08:42:32Z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47F11D0F56114C3ABD17630B502C84D8_13</vt:lpwstr>
  </property>
  <property fmtid="{D5CDD505-2E9C-101B-9397-08002B2CF9AE}" pid="4" name="KSOTemplateDocerSaveRecord">
    <vt:lpwstr>eyJoZGlkIjoiNDgyZWNjMzdiODNjZTBjN2E5ZGIwZjNkYzhkZThhNzAiLCJ1c2VySWQiOiI0MzI4MjQwNzgifQ==</vt:lpwstr>
  </property>
</Properties>
</file>