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62C65">
      <w:pPr>
        <w:keepNext w:val="0"/>
        <w:keepLines w:val="0"/>
        <w:pageBreakBefore w:val="0"/>
        <w:wordWrap/>
        <w:overflowPunct/>
        <w:topLinePunct w:val="0"/>
        <w:bidi w:val="0"/>
        <w:spacing w:line="540" w:lineRule="exact"/>
        <w:ind w:left="0"/>
        <w:rPr>
          <w:rFonts w:hint="eastAsia" w:ascii="仿宋_GB2312" w:hAnsi="仿宋_GB2312" w:eastAsia="仿宋_GB2312" w:cs="仿宋_GB2312"/>
          <w:color w:val="auto"/>
          <w:sz w:val="30"/>
          <w:szCs w:val="30"/>
        </w:rPr>
      </w:pPr>
    </w:p>
    <w:p w14:paraId="5B88C373">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7AA89C6C">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17C78CFF">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r>
        <w:rPr>
          <w:rFonts w:hint="eastAsia" w:ascii="仿宋_GB2312" w:hAnsi="仿宋_GB2312" w:eastAsia="仿宋_GB2312" w:cs="仿宋_GB2312"/>
          <w:color w:val="auto"/>
          <w:sz w:val="30"/>
          <w:szCs w:val="30"/>
          <w:lang w:eastAsia="zh-CN"/>
        </w:rPr>
        <w:drawing>
          <wp:anchor distT="0" distB="0" distL="114300" distR="114300" simplePos="0" relativeHeight="251659264" behindDoc="0" locked="0" layoutInCell="1" allowOverlap="1">
            <wp:simplePos x="0" y="0"/>
            <wp:positionH relativeFrom="column">
              <wp:posOffset>-85090</wp:posOffset>
            </wp:positionH>
            <wp:positionV relativeFrom="paragraph">
              <wp:posOffset>-746125</wp:posOffset>
            </wp:positionV>
            <wp:extent cx="5264785" cy="1966595"/>
            <wp:effectExtent l="0" t="0" r="12065" b="0"/>
            <wp:wrapNone/>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
                    <pic:cNvPicPr>
                      <a:picLocks noChangeAspect="1"/>
                    </pic:cNvPicPr>
                  </pic:nvPicPr>
                  <pic:blipFill>
                    <a:blip r:embed="rId10"/>
                    <a:stretch>
                      <a:fillRect/>
                    </a:stretch>
                  </pic:blipFill>
                  <pic:spPr>
                    <a:xfrm>
                      <a:off x="0" y="0"/>
                      <a:ext cx="5264785" cy="1966595"/>
                    </a:xfrm>
                    <a:prstGeom prst="rect">
                      <a:avLst/>
                    </a:prstGeom>
                    <a:noFill/>
                    <a:ln>
                      <a:noFill/>
                    </a:ln>
                  </pic:spPr>
                </pic:pic>
              </a:graphicData>
            </a:graphic>
          </wp:anchor>
        </w:drawing>
      </w:r>
    </w:p>
    <w:p w14:paraId="392309C0">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08FB4E4D">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092B2806">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32CB18C4">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30"/>
          <w:szCs w:val="30"/>
          <w:lang w:val="en-US" w:eastAsia="zh-CN" w:bidi="ar"/>
        </w:rPr>
      </w:pPr>
    </w:p>
    <w:p w14:paraId="639185D1">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52"/>
          <w:szCs w:val="52"/>
          <w:lang w:val="en-US" w:eastAsia="zh-CN" w:bidi="ar"/>
        </w:rPr>
      </w:pPr>
    </w:p>
    <w:p w14:paraId="7C3D0718">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民间传统工艺</w:t>
      </w:r>
    </w:p>
    <w:p w14:paraId="025C969E">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专业人才培养方案</w:t>
      </w:r>
    </w:p>
    <w:p w14:paraId="3EAE47EE">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p>
    <w:p w14:paraId="6658CF2F">
      <w:pPr>
        <w:keepNext w:val="0"/>
        <w:keepLines w:val="0"/>
        <w:pageBreakBefore w:val="0"/>
        <w:widowControl/>
        <w:suppressLineNumbers w:val="0"/>
        <w:kinsoku/>
        <w:wordWrap/>
        <w:overflowPunct/>
        <w:topLinePunct w:val="0"/>
        <w:autoSpaceDE/>
        <w:autoSpaceDN/>
        <w:bidi w:val="0"/>
        <w:adjustRightInd/>
        <w:snapToGrid/>
        <w:spacing w:line="560" w:lineRule="exact"/>
        <w:ind w:left="0"/>
        <w:jc w:val="center"/>
        <w:textAlignment w:val="auto"/>
        <w:rPr>
          <w:rFonts w:hint="eastAsia" w:ascii="方正小标宋简体" w:hAnsi="方正小标宋简体" w:eastAsia="方正小标宋简体" w:cs="方正小标宋简体"/>
          <w:b/>
          <w:bCs/>
          <w:color w:val="auto"/>
          <w:kern w:val="0"/>
          <w:sz w:val="52"/>
          <w:szCs w:val="52"/>
          <w:lang w:val="en-US" w:eastAsia="zh-CN" w:bidi="ar"/>
        </w:rPr>
      </w:pPr>
      <w:r>
        <w:rPr>
          <w:rFonts w:hint="eastAsia" w:ascii="方正小标宋简体" w:hAnsi="方正小标宋简体" w:eastAsia="方正小标宋简体" w:cs="方正小标宋简体"/>
          <w:b/>
          <w:bCs/>
          <w:color w:val="auto"/>
          <w:kern w:val="0"/>
          <w:sz w:val="52"/>
          <w:szCs w:val="52"/>
          <w:lang w:val="en-US" w:eastAsia="zh-CN" w:bidi="ar"/>
        </w:rPr>
        <w:t>（2026级）</w:t>
      </w:r>
    </w:p>
    <w:p w14:paraId="50FDB8AF">
      <w:pPr>
        <w:keepNext w:val="0"/>
        <w:keepLines w:val="0"/>
        <w:pageBreakBefore w:val="0"/>
        <w:widowControl/>
        <w:suppressLineNumbers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52"/>
          <w:szCs w:val="52"/>
          <w:lang w:val="en-US" w:eastAsia="zh-CN" w:bidi="ar"/>
        </w:rPr>
      </w:pPr>
    </w:p>
    <w:p w14:paraId="1E32A3A0">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30"/>
          <w:szCs w:val="30"/>
          <w:lang w:val="en-US" w:eastAsia="zh-CN" w:bidi="ar"/>
        </w:rPr>
      </w:pPr>
    </w:p>
    <w:p w14:paraId="536C3EBD">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30"/>
          <w:szCs w:val="30"/>
          <w:lang w:val="en-US" w:eastAsia="zh-CN" w:bidi="ar"/>
        </w:rPr>
      </w:pPr>
    </w:p>
    <w:p w14:paraId="2A97C1D1">
      <w:pPr>
        <w:keepNext w:val="0"/>
        <w:keepLines w:val="0"/>
        <w:pageBreakBefore w:val="0"/>
        <w:wordWrap/>
        <w:overflowPunct/>
        <w:topLinePunct w:val="0"/>
        <w:bidi w:val="0"/>
        <w:spacing w:line="540" w:lineRule="exact"/>
        <w:ind w:left="0"/>
        <w:jc w:val="center"/>
        <w:rPr>
          <w:rFonts w:hint="eastAsia" w:ascii="方正小标宋简体" w:hAnsi="方正小标宋简体" w:eastAsia="方正小标宋简体" w:cs="方正小标宋简体"/>
          <w:b/>
          <w:bCs/>
          <w:color w:val="auto"/>
          <w:kern w:val="0"/>
          <w:sz w:val="30"/>
          <w:szCs w:val="30"/>
          <w:lang w:val="en-US" w:eastAsia="zh-CN" w:bidi="ar"/>
        </w:rPr>
      </w:pPr>
    </w:p>
    <w:p w14:paraId="1CE9655D">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p>
    <w:p w14:paraId="2B532FAC">
      <w:pPr>
        <w:keepNext w:val="0"/>
        <w:keepLines w:val="0"/>
        <w:pageBreakBefore w:val="0"/>
        <w:widowControl/>
        <w:suppressLineNumbers w:val="0"/>
        <w:wordWrap/>
        <w:overflowPunct/>
        <w:topLinePunct w:val="0"/>
        <w:bidi w:val="0"/>
        <w:spacing w:line="540" w:lineRule="exact"/>
        <w:ind w:left="0"/>
        <w:jc w:val="center"/>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kern w:val="0"/>
          <w:sz w:val="30"/>
          <w:szCs w:val="30"/>
          <w:lang w:val="en-US" w:eastAsia="zh-CN" w:bidi="ar"/>
        </w:rPr>
        <w:t>广西工艺美术学校</w:t>
      </w:r>
    </w:p>
    <w:p w14:paraId="06F0E335">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pPr>
      <w:r>
        <w:rPr>
          <w:rFonts w:hint="eastAsia" w:ascii="仿宋_GB2312" w:hAnsi="仿宋_GB2312" w:eastAsia="仿宋_GB2312" w:cs="仿宋_GB2312"/>
          <w:b/>
          <w:bCs/>
          <w:color w:val="auto"/>
          <w:kern w:val="0"/>
          <w:sz w:val="30"/>
          <w:szCs w:val="30"/>
          <w:lang w:val="en-US" w:eastAsia="zh-CN" w:bidi="ar"/>
        </w:rPr>
        <w:t>2026年7月</w:t>
      </w:r>
    </w:p>
    <w:p w14:paraId="3CE56611">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sectPr>
          <w:headerReference r:id="rId5" w:type="default"/>
          <w:pgSz w:w="11906" w:h="16838"/>
          <w:pgMar w:top="1440" w:right="1800" w:bottom="1440" w:left="1800" w:header="851" w:footer="992" w:gutter="0"/>
          <w:cols w:space="425" w:num="1"/>
          <w:titlePg/>
          <w:docGrid w:type="lines" w:linePitch="312" w:charSpace="0"/>
        </w:sectPr>
      </w:pPr>
    </w:p>
    <w:sdt>
      <w:sdtPr>
        <w:rPr>
          <w:b/>
          <w:bCs/>
          <w:sz w:val="36"/>
          <w:szCs w:val="48"/>
          <w:lang w:val="en-US" w:eastAsia="zh-CN"/>
        </w:rPr>
        <w:id w:val="147478838"/>
        <w15:color w:val="DBDBDB"/>
        <w:docPartObj>
          <w:docPartGallery w:val="Table of Contents"/>
          <w:docPartUnique/>
        </w:docPartObj>
      </w:sdtPr>
      <w:sdtEndPr>
        <w:rPr>
          <w:rFonts w:hint="eastAsia" w:asciiTheme="minorHAnsi" w:hAnsiTheme="minorHAnsi" w:eastAsiaTheme="minorEastAsia" w:cstheme="minorBidi"/>
          <w:b/>
          <w:bCs/>
          <w:kern w:val="2"/>
          <w:sz w:val="30"/>
          <w:szCs w:val="24"/>
          <w:lang w:val="en-US" w:eastAsia="zh-CN" w:bidi="ar-SA"/>
        </w:rPr>
      </w:sdtEndPr>
      <w:sdtContent>
        <w:p w14:paraId="3B501954">
          <w:pPr>
            <w:pStyle w:val="6"/>
            <w:bidi w:val="0"/>
            <w:rPr>
              <w:b/>
              <w:bCs/>
              <w:sz w:val="36"/>
              <w:szCs w:val="48"/>
            </w:rPr>
          </w:pPr>
          <w:bookmarkStart w:id="0" w:name="_Toc26223"/>
          <w:r>
            <w:rPr>
              <w:b/>
              <w:bCs/>
              <w:sz w:val="36"/>
              <w:szCs w:val="48"/>
            </w:rPr>
            <w:t>目</w:t>
          </w:r>
          <w:r>
            <w:rPr>
              <w:rFonts w:hint="eastAsia"/>
              <w:b/>
              <w:bCs/>
              <w:sz w:val="36"/>
              <w:szCs w:val="48"/>
              <w:lang w:val="en-US" w:eastAsia="zh-CN"/>
            </w:rPr>
            <w:t xml:space="preserve">  </w:t>
          </w:r>
          <w:r>
            <w:rPr>
              <w:b/>
              <w:bCs/>
              <w:sz w:val="36"/>
              <w:szCs w:val="48"/>
            </w:rPr>
            <w:t>录</w:t>
          </w:r>
          <w:bookmarkEnd w:id="0"/>
        </w:p>
        <w:p w14:paraId="6F0B5863">
          <w:pPr>
            <w:pStyle w:val="9"/>
            <w:tabs>
              <w:tab w:val="right" w:leader="dot" w:pos="8306"/>
            </w:tabs>
          </w:pPr>
          <w:r>
            <w:rPr>
              <w:rFonts w:hint="eastAsia" w:asciiTheme="minorHAnsi" w:hAnsiTheme="minorHAnsi" w:eastAsiaTheme="minorEastAsia" w:cstheme="minorBidi"/>
              <w:kern w:val="2"/>
              <w:sz w:val="30"/>
              <w:szCs w:val="24"/>
              <w:lang w:val="en-US" w:eastAsia="zh-CN" w:bidi="ar-SA"/>
            </w:rPr>
            <w:fldChar w:fldCharType="begin"/>
          </w:r>
          <w:r>
            <w:rPr>
              <w:rFonts w:hint="eastAsia" w:asciiTheme="minorHAnsi" w:hAnsiTheme="minorHAnsi" w:eastAsiaTheme="minorEastAsia" w:cstheme="minorBidi"/>
              <w:kern w:val="2"/>
              <w:sz w:val="30"/>
              <w:szCs w:val="24"/>
              <w:lang w:val="en-US" w:eastAsia="zh-CN" w:bidi="ar-SA"/>
            </w:rPr>
            <w:instrText xml:space="preserve">TOC \o "1-2" \h \u </w:instrText>
          </w:r>
          <w:r>
            <w:rPr>
              <w:rFonts w:hint="eastAsia" w:asciiTheme="minorHAnsi" w:hAnsiTheme="minorHAnsi" w:eastAsiaTheme="minorEastAsia" w:cstheme="minorBidi"/>
              <w:kern w:val="2"/>
              <w:sz w:val="30"/>
              <w:szCs w:val="24"/>
              <w:lang w:val="en-US" w:eastAsia="zh-CN" w:bidi="ar-SA"/>
            </w:rPr>
            <w:fldChar w:fldCharType="separate"/>
          </w: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_Toc11840 </w:instrText>
          </w:r>
          <w:r>
            <w:rPr>
              <w:rFonts w:hint="eastAsia" w:asciiTheme="minorHAnsi" w:hAnsiTheme="minorHAnsi" w:eastAsiaTheme="minorEastAsia" w:cstheme="minorBidi"/>
              <w:kern w:val="2"/>
              <w:szCs w:val="24"/>
              <w:lang w:val="en-US" w:eastAsia="zh-CN" w:bidi="ar-SA"/>
            </w:rPr>
            <w:fldChar w:fldCharType="separate"/>
          </w:r>
          <w:r>
            <w:rPr>
              <w:rFonts w:hint="eastAsia"/>
            </w:rPr>
            <w:t>一、专业名称及代码</w:t>
          </w:r>
          <w:r>
            <w:tab/>
          </w:r>
          <w:r>
            <w:fldChar w:fldCharType="begin"/>
          </w:r>
          <w:r>
            <w:instrText xml:space="preserve"> PAGEREF _Toc11840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7563741D">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_Toc6702 </w:instrText>
          </w:r>
          <w:r>
            <w:rPr>
              <w:rFonts w:hint="eastAsia" w:asciiTheme="minorHAnsi" w:hAnsiTheme="minorHAnsi" w:eastAsiaTheme="minorEastAsia" w:cstheme="minorBidi"/>
              <w:kern w:val="2"/>
              <w:szCs w:val="24"/>
              <w:lang w:val="en-US" w:eastAsia="zh-CN" w:bidi="ar-SA"/>
            </w:rPr>
            <w:fldChar w:fldCharType="separate"/>
          </w:r>
          <w:r>
            <w:rPr>
              <w:rFonts w:hint="eastAsia"/>
            </w:rPr>
            <w:t>二、入学要求</w:t>
          </w:r>
          <w:r>
            <w:tab/>
          </w:r>
          <w:r>
            <w:fldChar w:fldCharType="begin"/>
          </w:r>
          <w:r>
            <w:instrText xml:space="preserve"> PAGEREF _Toc6702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2686ED6D">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_Toc3126 </w:instrText>
          </w:r>
          <w:r>
            <w:rPr>
              <w:rFonts w:hint="eastAsia" w:asciiTheme="minorHAnsi" w:hAnsiTheme="minorHAnsi" w:eastAsiaTheme="minorEastAsia" w:cstheme="minorBidi"/>
              <w:kern w:val="2"/>
              <w:szCs w:val="24"/>
              <w:lang w:val="en-US" w:eastAsia="zh-CN" w:bidi="ar-SA"/>
            </w:rPr>
            <w:fldChar w:fldCharType="separate"/>
          </w:r>
          <w:r>
            <w:rPr>
              <w:rFonts w:hint="eastAsia"/>
            </w:rPr>
            <w:t>三、修业年限</w:t>
          </w:r>
          <w:r>
            <w:tab/>
          </w:r>
          <w:r>
            <w:fldChar w:fldCharType="begin"/>
          </w:r>
          <w:r>
            <w:instrText xml:space="preserve"> PAGEREF _Toc3126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7D4E5076">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_Toc21717 </w:instrText>
          </w:r>
          <w:r>
            <w:rPr>
              <w:rFonts w:hint="eastAsia" w:asciiTheme="minorHAnsi" w:hAnsiTheme="minorHAnsi" w:eastAsiaTheme="minorEastAsia" w:cstheme="minorBidi"/>
              <w:kern w:val="2"/>
              <w:szCs w:val="24"/>
              <w:lang w:val="en-US" w:eastAsia="zh-CN" w:bidi="ar-SA"/>
            </w:rPr>
            <w:fldChar w:fldCharType="separate"/>
          </w:r>
          <w:r>
            <w:rPr>
              <w:rFonts w:hint="eastAsia" w:ascii="Times New Roman" w:hAnsi="Times New Roman" w:eastAsia="黑体" w:cs="Times New Roman"/>
              <w:kern w:val="0"/>
              <w:szCs w:val="44"/>
              <w:lang w:val="en-GB" w:eastAsia="en-US" w:bidi="ar-SA"/>
            </w:rPr>
            <w:t>四、职业面向及主要接续专业</w:t>
          </w:r>
          <w:r>
            <w:tab/>
          </w:r>
          <w:r>
            <w:fldChar w:fldCharType="begin"/>
          </w:r>
          <w:r>
            <w:instrText xml:space="preserve"> PAGEREF _Toc21717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2BC0A848">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_Toc7741 </w:instrText>
          </w:r>
          <w:r>
            <w:rPr>
              <w:rFonts w:hint="eastAsia" w:asciiTheme="minorHAnsi" w:hAnsiTheme="minorHAnsi" w:eastAsiaTheme="minorEastAsia" w:cstheme="minorBidi"/>
              <w:kern w:val="2"/>
              <w:szCs w:val="24"/>
              <w:lang w:val="en-US" w:eastAsia="zh-CN" w:bidi="ar-SA"/>
            </w:rPr>
            <w:fldChar w:fldCharType="separate"/>
          </w:r>
          <w:r>
            <w:rPr>
              <w:rFonts w:hint="eastAsia"/>
            </w:rPr>
            <w:t>（一）职业面向</w:t>
          </w:r>
          <w:r>
            <w:tab/>
          </w:r>
          <w:r>
            <w:fldChar w:fldCharType="begin"/>
          </w:r>
          <w:r>
            <w:instrText xml:space="preserve"> PAGEREF _Toc7741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1E25E942">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_Toc6631 </w:instrText>
          </w:r>
          <w:r>
            <w:rPr>
              <w:rFonts w:hint="eastAsia" w:asciiTheme="minorHAnsi" w:hAnsiTheme="minorHAnsi" w:eastAsiaTheme="minorEastAsia" w:cstheme="minorBidi"/>
              <w:kern w:val="2"/>
              <w:szCs w:val="24"/>
              <w:lang w:val="en-US" w:eastAsia="zh-CN" w:bidi="ar-SA"/>
            </w:rPr>
            <w:fldChar w:fldCharType="separate"/>
          </w:r>
          <w:r>
            <w:rPr>
              <w:rFonts w:hint="eastAsia"/>
            </w:rPr>
            <w:t>（二）主要接续专业</w:t>
          </w:r>
          <w:r>
            <w:tab/>
          </w:r>
          <w:r>
            <w:fldChar w:fldCharType="begin"/>
          </w:r>
          <w:r>
            <w:instrText xml:space="preserve"> PAGEREF _Toc6631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0291A021">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_Toc6709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五、培养目标与培养规格</w:t>
          </w:r>
          <w:r>
            <w:tab/>
          </w:r>
          <w:r>
            <w:fldChar w:fldCharType="begin"/>
          </w:r>
          <w:r>
            <w:instrText xml:space="preserve"> PAGEREF _Toc6709 \h </w:instrText>
          </w:r>
          <w:r>
            <w:fldChar w:fldCharType="separate"/>
          </w:r>
          <w:r>
            <w:t>2</w:t>
          </w:r>
          <w:r>
            <w:fldChar w:fldCharType="end"/>
          </w:r>
          <w:r>
            <w:rPr>
              <w:rFonts w:hint="eastAsia" w:asciiTheme="minorHAnsi" w:hAnsiTheme="minorHAnsi" w:eastAsiaTheme="minorEastAsia" w:cstheme="minorBidi"/>
              <w:kern w:val="2"/>
              <w:szCs w:val="24"/>
              <w:lang w:val="en-US" w:eastAsia="zh-CN" w:bidi="ar-SA"/>
            </w:rPr>
            <w:fldChar w:fldCharType="end"/>
          </w:r>
        </w:p>
        <w:p w14:paraId="1B0FA847">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_Toc3741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（一）培养目标</w:t>
          </w:r>
          <w:r>
            <w:tab/>
          </w:r>
          <w:r>
            <w:fldChar w:fldCharType="begin"/>
          </w:r>
          <w:r>
            <w:instrText xml:space="preserve"> PAGEREF _Toc3741 \h </w:instrText>
          </w:r>
          <w:r>
            <w:fldChar w:fldCharType="separate"/>
          </w:r>
          <w:r>
            <w:t>2</w:t>
          </w:r>
          <w:r>
            <w:fldChar w:fldCharType="end"/>
          </w:r>
          <w:r>
            <w:rPr>
              <w:rFonts w:hint="eastAsia" w:asciiTheme="minorHAnsi" w:hAnsiTheme="minorHAnsi" w:eastAsiaTheme="minorEastAsia" w:cstheme="minorBidi"/>
              <w:kern w:val="2"/>
              <w:szCs w:val="24"/>
              <w:lang w:val="en-US" w:eastAsia="zh-CN" w:bidi="ar-SA"/>
            </w:rPr>
            <w:fldChar w:fldCharType="end"/>
          </w:r>
        </w:p>
        <w:p w14:paraId="4CFDC30D">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_Toc9184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（二）培养规格</w:t>
          </w:r>
          <w:r>
            <w:tab/>
          </w:r>
          <w:r>
            <w:fldChar w:fldCharType="begin"/>
          </w:r>
          <w:r>
            <w:instrText xml:space="preserve"> PAGEREF _Toc9184 \h </w:instrText>
          </w:r>
          <w:r>
            <w:fldChar w:fldCharType="separate"/>
          </w:r>
          <w:r>
            <w:t>2</w:t>
          </w:r>
          <w:r>
            <w:fldChar w:fldCharType="end"/>
          </w:r>
          <w:r>
            <w:rPr>
              <w:rFonts w:hint="eastAsia" w:asciiTheme="minorHAnsi" w:hAnsiTheme="minorHAnsi" w:eastAsiaTheme="minorEastAsia" w:cstheme="minorBidi"/>
              <w:kern w:val="2"/>
              <w:szCs w:val="24"/>
              <w:lang w:val="en-US" w:eastAsia="zh-CN" w:bidi="ar-SA"/>
            </w:rPr>
            <w:fldChar w:fldCharType="end"/>
          </w:r>
        </w:p>
        <w:p w14:paraId="5994D8FB">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_Toc21846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六、课程设置及要求</w:t>
          </w:r>
          <w:r>
            <w:tab/>
          </w:r>
          <w:r>
            <w:fldChar w:fldCharType="begin"/>
          </w:r>
          <w:r>
            <w:instrText xml:space="preserve"> PAGEREF _Toc21846 \h </w:instrText>
          </w:r>
          <w:r>
            <w:fldChar w:fldCharType="separate"/>
          </w:r>
          <w:r>
            <w:t>3</w:t>
          </w:r>
          <w:r>
            <w:fldChar w:fldCharType="end"/>
          </w:r>
          <w:r>
            <w:rPr>
              <w:rFonts w:hint="eastAsia" w:asciiTheme="minorHAnsi" w:hAnsiTheme="minorHAnsi" w:eastAsiaTheme="minorEastAsia" w:cstheme="minorBidi"/>
              <w:kern w:val="2"/>
              <w:szCs w:val="24"/>
              <w:lang w:val="en-US" w:eastAsia="zh-CN" w:bidi="ar-SA"/>
            </w:rPr>
            <w:fldChar w:fldCharType="end"/>
          </w:r>
        </w:p>
        <w:p w14:paraId="48E7B7EA">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_Toc21281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（一）课程结构图</w:t>
          </w:r>
          <w:r>
            <w:tab/>
          </w:r>
          <w:r>
            <w:fldChar w:fldCharType="begin"/>
          </w:r>
          <w:r>
            <w:instrText xml:space="preserve"> PAGEREF _Toc21281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1284644E">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_Toc9491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（二）</w:t>
          </w:r>
          <w:r>
            <w:rPr>
              <w:rFonts w:hint="eastAsia"/>
            </w:rPr>
            <w:t>公共基础课设置及要求</w:t>
          </w:r>
          <w:r>
            <w:tab/>
          </w:r>
          <w:r>
            <w:fldChar w:fldCharType="begin"/>
          </w:r>
          <w:r>
            <w:instrText xml:space="preserve"> PAGEREF _Toc9491 \h </w:instrText>
          </w:r>
          <w:r>
            <w:fldChar w:fldCharType="separate"/>
          </w:r>
          <w:r>
            <w:t>1</w:t>
          </w:r>
          <w:r>
            <w:fldChar w:fldCharType="end"/>
          </w:r>
          <w:r>
            <w:rPr>
              <w:rFonts w:hint="eastAsia" w:asciiTheme="minorHAnsi" w:hAnsiTheme="minorHAnsi" w:eastAsiaTheme="minorEastAsia" w:cstheme="minorBidi"/>
              <w:kern w:val="2"/>
              <w:szCs w:val="24"/>
              <w:lang w:val="en-US" w:eastAsia="zh-CN" w:bidi="ar-SA"/>
            </w:rPr>
            <w:fldChar w:fldCharType="end"/>
          </w:r>
        </w:p>
        <w:p w14:paraId="13999899">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_Toc7753 </w:instrText>
          </w:r>
          <w:r>
            <w:rPr>
              <w:rFonts w:hint="eastAsia" w:asciiTheme="minorHAnsi" w:hAnsiTheme="minorHAnsi" w:eastAsiaTheme="minorEastAsia" w:cstheme="minorBidi"/>
              <w:kern w:val="2"/>
              <w:szCs w:val="24"/>
              <w:lang w:val="en-US" w:eastAsia="zh-CN" w:bidi="ar-SA"/>
            </w:rPr>
            <w:fldChar w:fldCharType="separate"/>
          </w:r>
          <w:r>
            <w:rPr>
              <w:rFonts w:hint="eastAsia"/>
            </w:rPr>
            <w:t>（</w:t>
          </w:r>
          <w:r>
            <w:rPr>
              <w:rFonts w:hint="eastAsia"/>
              <w:lang w:val="en-US" w:eastAsia="zh-CN"/>
            </w:rPr>
            <w:t>三</w:t>
          </w:r>
          <w:r>
            <w:rPr>
              <w:rFonts w:hint="eastAsia"/>
            </w:rPr>
            <w:t>）专业课课程设置及要求</w:t>
          </w:r>
          <w:r>
            <w:tab/>
          </w:r>
          <w:r>
            <w:fldChar w:fldCharType="begin"/>
          </w:r>
          <w:r>
            <w:instrText xml:space="preserve"> PAGEREF _Toc7753 \h </w:instrText>
          </w:r>
          <w:r>
            <w:fldChar w:fldCharType="separate"/>
          </w:r>
          <w:r>
            <w:t>7</w:t>
          </w:r>
          <w:r>
            <w:fldChar w:fldCharType="end"/>
          </w:r>
          <w:r>
            <w:rPr>
              <w:rFonts w:hint="eastAsia" w:asciiTheme="minorHAnsi" w:hAnsiTheme="minorHAnsi" w:eastAsiaTheme="minorEastAsia" w:cstheme="minorBidi"/>
              <w:kern w:val="2"/>
              <w:szCs w:val="24"/>
              <w:lang w:val="en-US" w:eastAsia="zh-CN" w:bidi="ar-SA"/>
            </w:rPr>
            <w:fldChar w:fldCharType="end"/>
          </w:r>
        </w:p>
        <w:p w14:paraId="73315EA4">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_Toc30437 </w:instrText>
          </w:r>
          <w:r>
            <w:rPr>
              <w:rFonts w:hint="eastAsia" w:asciiTheme="minorHAnsi" w:hAnsiTheme="minorHAnsi" w:eastAsiaTheme="minorEastAsia" w:cstheme="minorBidi"/>
              <w:kern w:val="2"/>
              <w:szCs w:val="24"/>
              <w:lang w:val="en-US" w:eastAsia="zh-CN" w:bidi="ar-SA"/>
            </w:rPr>
            <w:fldChar w:fldCharType="separate"/>
          </w:r>
          <w:r>
            <w:rPr>
              <w:rFonts w:hint="eastAsia"/>
            </w:rPr>
            <w:t>七、</w:t>
          </w:r>
          <w:r>
            <w:rPr>
              <w:rFonts w:hint="eastAsia"/>
              <w:lang w:val="en-US" w:eastAsia="zh-CN"/>
            </w:rPr>
            <w:t>教学进程总体安排</w:t>
          </w:r>
          <w:r>
            <w:tab/>
          </w:r>
          <w:r>
            <w:fldChar w:fldCharType="begin"/>
          </w:r>
          <w:r>
            <w:instrText xml:space="preserve"> PAGEREF _Toc30437 \h </w:instrText>
          </w:r>
          <w:r>
            <w:fldChar w:fldCharType="separate"/>
          </w:r>
          <w:r>
            <w:t>16</w:t>
          </w:r>
          <w:r>
            <w:fldChar w:fldCharType="end"/>
          </w:r>
          <w:r>
            <w:rPr>
              <w:rFonts w:hint="eastAsia" w:asciiTheme="minorHAnsi" w:hAnsiTheme="minorHAnsi" w:eastAsiaTheme="minorEastAsia" w:cstheme="minorBidi"/>
              <w:kern w:val="2"/>
              <w:szCs w:val="24"/>
              <w:lang w:val="en-US" w:eastAsia="zh-CN" w:bidi="ar-SA"/>
            </w:rPr>
            <w:fldChar w:fldCharType="end"/>
          </w:r>
        </w:p>
        <w:p w14:paraId="2B6A6339">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_Toc7561 </w:instrText>
          </w:r>
          <w:r>
            <w:rPr>
              <w:rFonts w:hint="eastAsia" w:asciiTheme="minorHAnsi" w:hAnsiTheme="minorHAnsi" w:eastAsiaTheme="minorEastAsia" w:cstheme="minorBidi"/>
              <w:kern w:val="2"/>
              <w:szCs w:val="24"/>
              <w:lang w:val="en-US" w:eastAsia="zh-CN" w:bidi="ar-SA"/>
            </w:rPr>
            <w:fldChar w:fldCharType="separate"/>
          </w:r>
          <w:r>
            <w:rPr>
              <w:rFonts w:hint="eastAsia"/>
              <w:lang w:eastAsia="zh-CN"/>
            </w:rPr>
            <w:t>（</w:t>
          </w:r>
          <w:r>
            <w:rPr>
              <w:rFonts w:hint="eastAsia"/>
              <w:lang w:val="en-US" w:eastAsia="zh-CN"/>
            </w:rPr>
            <w:t>一</w:t>
          </w:r>
          <w:r>
            <w:rPr>
              <w:rFonts w:hint="eastAsia"/>
              <w:lang w:eastAsia="zh-CN"/>
            </w:rPr>
            <w:t>）</w:t>
          </w:r>
          <w:r>
            <w:rPr>
              <w:rFonts w:hint="eastAsia"/>
              <w:lang w:val="en-US" w:eastAsia="zh-CN"/>
            </w:rPr>
            <w:t>基本要求</w:t>
          </w:r>
          <w:r>
            <w:tab/>
          </w:r>
          <w:r>
            <w:fldChar w:fldCharType="begin"/>
          </w:r>
          <w:r>
            <w:instrText xml:space="preserve"> PAGEREF _Toc7561 \h </w:instrText>
          </w:r>
          <w:r>
            <w:fldChar w:fldCharType="separate"/>
          </w:r>
          <w:r>
            <w:t>16</w:t>
          </w:r>
          <w:r>
            <w:fldChar w:fldCharType="end"/>
          </w:r>
          <w:r>
            <w:rPr>
              <w:rFonts w:hint="eastAsia" w:asciiTheme="minorHAnsi" w:hAnsiTheme="minorHAnsi" w:eastAsiaTheme="minorEastAsia" w:cstheme="minorBidi"/>
              <w:kern w:val="2"/>
              <w:szCs w:val="24"/>
              <w:lang w:val="en-US" w:eastAsia="zh-CN" w:bidi="ar-SA"/>
            </w:rPr>
            <w:fldChar w:fldCharType="end"/>
          </w:r>
        </w:p>
        <w:p w14:paraId="0964D2EC">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_Toc24742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（二）教学安排建议</w:t>
          </w:r>
          <w:r>
            <w:tab/>
          </w:r>
          <w:r>
            <w:fldChar w:fldCharType="begin"/>
          </w:r>
          <w:r>
            <w:instrText xml:space="preserve"> PAGEREF _Toc24742 \h </w:instrText>
          </w:r>
          <w:r>
            <w:fldChar w:fldCharType="separate"/>
          </w:r>
          <w:r>
            <w:t>16</w:t>
          </w:r>
          <w:r>
            <w:fldChar w:fldCharType="end"/>
          </w:r>
          <w:r>
            <w:rPr>
              <w:rFonts w:hint="eastAsia" w:asciiTheme="minorHAnsi" w:hAnsiTheme="minorHAnsi" w:eastAsiaTheme="minorEastAsia" w:cstheme="minorBidi"/>
              <w:kern w:val="2"/>
              <w:szCs w:val="24"/>
              <w:lang w:val="en-US" w:eastAsia="zh-CN" w:bidi="ar-SA"/>
            </w:rPr>
            <w:fldChar w:fldCharType="end"/>
          </w:r>
        </w:p>
        <w:p w14:paraId="08B782C9">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_Toc22755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八</w:t>
          </w:r>
          <w:r>
            <w:rPr>
              <w:rFonts w:hint="eastAsia"/>
            </w:rPr>
            <w:t>、实施保障</w:t>
          </w:r>
          <w:r>
            <w:tab/>
          </w:r>
          <w:r>
            <w:fldChar w:fldCharType="begin"/>
          </w:r>
          <w:r>
            <w:instrText xml:space="preserve"> PAGEREF _Toc22755 \h </w:instrText>
          </w:r>
          <w:r>
            <w:fldChar w:fldCharType="separate"/>
          </w:r>
          <w:r>
            <w:t>19</w:t>
          </w:r>
          <w:r>
            <w:fldChar w:fldCharType="end"/>
          </w:r>
          <w:r>
            <w:rPr>
              <w:rFonts w:hint="eastAsia" w:asciiTheme="minorHAnsi" w:hAnsiTheme="minorHAnsi" w:eastAsiaTheme="minorEastAsia" w:cstheme="minorBidi"/>
              <w:kern w:val="2"/>
              <w:szCs w:val="24"/>
              <w:lang w:val="en-US" w:eastAsia="zh-CN" w:bidi="ar-SA"/>
            </w:rPr>
            <w:fldChar w:fldCharType="end"/>
          </w:r>
        </w:p>
        <w:p w14:paraId="34C9E775">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_Toc14181 </w:instrText>
          </w:r>
          <w:r>
            <w:rPr>
              <w:rFonts w:hint="eastAsia" w:asciiTheme="minorHAnsi" w:hAnsiTheme="minorHAnsi" w:eastAsiaTheme="minorEastAsia" w:cstheme="minorBidi"/>
              <w:kern w:val="2"/>
              <w:szCs w:val="24"/>
              <w:lang w:val="en-US" w:eastAsia="zh-CN" w:bidi="ar-SA"/>
            </w:rPr>
            <w:fldChar w:fldCharType="separate"/>
          </w:r>
          <w:r>
            <w:rPr>
              <w:rFonts w:hint="eastAsia"/>
            </w:rPr>
            <w:t>（一）师资队伍</w:t>
          </w:r>
          <w:r>
            <w:tab/>
          </w:r>
          <w:r>
            <w:fldChar w:fldCharType="begin"/>
          </w:r>
          <w:r>
            <w:instrText xml:space="preserve"> PAGEREF _Toc14181 \h </w:instrText>
          </w:r>
          <w:r>
            <w:fldChar w:fldCharType="separate"/>
          </w:r>
          <w:r>
            <w:t>19</w:t>
          </w:r>
          <w:r>
            <w:fldChar w:fldCharType="end"/>
          </w:r>
          <w:r>
            <w:rPr>
              <w:rFonts w:hint="eastAsia" w:asciiTheme="minorHAnsi" w:hAnsiTheme="minorHAnsi" w:eastAsiaTheme="minorEastAsia" w:cstheme="minorBidi"/>
              <w:kern w:val="2"/>
              <w:szCs w:val="24"/>
              <w:lang w:val="en-US" w:eastAsia="zh-CN" w:bidi="ar-SA"/>
            </w:rPr>
            <w:fldChar w:fldCharType="end"/>
          </w:r>
        </w:p>
        <w:p w14:paraId="51CEF4D0">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_Toc25186 </w:instrText>
          </w:r>
          <w:r>
            <w:rPr>
              <w:rFonts w:hint="eastAsia" w:asciiTheme="minorHAnsi" w:hAnsiTheme="minorHAnsi" w:eastAsiaTheme="minorEastAsia" w:cstheme="minorBidi"/>
              <w:kern w:val="2"/>
              <w:szCs w:val="24"/>
              <w:lang w:val="en-US" w:eastAsia="zh-CN" w:bidi="ar-SA"/>
            </w:rPr>
            <w:fldChar w:fldCharType="separate"/>
          </w:r>
          <w:r>
            <w:rPr>
              <w:rFonts w:hint="eastAsia"/>
            </w:rPr>
            <w:t>（二）教学设施</w:t>
          </w:r>
          <w:r>
            <w:tab/>
          </w:r>
          <w:r>
            <w:fldChar w:fldCharType="begin"/>
          </w:r>
          <w:r>
            <w:instrText xml:space="preserve"> PAGEREF _Toc25186 \h </w:instrText>
          </w:r>
          <w:r>
            <w:fldChar w:fldCharType="separate"/>
          </w:r>
          <w:r>
            <w:t>21</w:t>
          </w:r>
          <w:r>
            <w:fldChar w:fldCharType="end"/>
          </w:r>
          <w:r>
            <w:rPr>
              <w:rFonts w:hint="eastAsia" w:asciiTheme="minorHAnsi" w:hAnsiTheme="minorHAnsi" w:eastAsiaTheme="minorEastAsia" w:cstheme="minorBidi"/>
              <w:kern w:val="2"/>
              <w:szCs w:val="24"/>
              <w:lang w:val="en-US" w:eastAsia="zh-CN" w:bidi="ar-SA"/>
            </w:rPr>
            <w:fldChar w:fldCharType="end"/>
          </w:r>
        </w:p>
        <w:p w14:paraId="0543D930">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_Toc31054 </w:instrText>
          </w:r>
          <w:r>
            <w:rPr>
              <w:rFonts w:hint="eastAsia" w:asciiTheme="minorHAnsi" w:hAnsiTheme="minorHAnsi" w:eastAsiaTheme="minorEastAsia" w:cstheme="minorBidi"/>
              <w:kern w:val="2"/>
              <w:szCs w:val="24"/>
              <w:lang w:val="en-US" w:eastAsia="zh-CN" w:bidi="ar-SA"/>
            </w:rPr>
            <w:fldChar w:fldCharType="separate"/>
          </w:r>
          <w:r>
            <w:rPr>
              <w:rFonts w:hint="eastAsia"/>
            </w:rPr>
            <w:t>（三）教学资源</w:t>
          </w:r>
          <w:r>
            <w:tab/>
          </w:r>
          <w:r>
            <w:fldChar w:fldCharType="begin"/>
          </w:r>
          <w:r>
            <w:instrText xml:space="preserve"> PAGEREF _Toc31054 \h </w:instrText>
          </w:r>
          <w:r>
            <w:fldChar w:fldCharType="separate"/>
          </w:r>
          <w:r>
            <w:t>23</w:t>
          </w:r>
          <w:r>
            <w:fldChar w:fldCharType="end"/>
          </w:r>
          <w:r>
            <w:rPr>
              <w:rFonts w:hint="eastAsia" w:asciiTheme="minorHAnsi" w:hAnsiTheme="minorHAnsi" w:eastAsiaTheme="minorEastAsia" w:cstheme="minorBidi"/>
              <w:kern w:val="2"/>
              <w:szCs w:val="24"/>
              <w:lang w:val="en-US" w:eastAsia="zh-CN" w:bidi="ar-SA"/>
            </w:rPr>
            <w:fldChar w:fldCharType="end"/>
          </w:r>
        </w:p>
        <w:p w14:paraId="1068A592">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_Toc27280 </w:instrText>
          </w:r>
          <w:r>
            <w:rPr>
              <w:rFonts w:hint="eastAsia" w:asciiTheme="minorHAnsi" w:hAnsiTheme="minorHAnsi" w:eastAsiaTheme="minorEastAsia" w:cstheme="minorBidi"/>
              <w:kern w:val="2"/>
              <w:szCs w:val="24"/>
              <w:lang w:val="en-US" w:eastAsia="zh-CN" w:bidi="ar-SA"/>
            </w:rPr>
            <w:fldChar w:fldCharType="separate"/>
          </w:r>
          <w:r>
            <w:rPr>
              <w:rFonts w:hint="eastAsia"/>
            </w:rPr>
            <w:t>（四）教学方法</w:t>
          </w:r>
          <w:r>
            <w:tab/>
          </w:r>
          <w:r>
            <w:fldChar w:fldCharType="begin"/>
          </w:r>
          <w:r>
            <w:instrText xml:space="preserve"> PAGEREF _Toc27280 \h </w:instrText>
          </w:r>
          <w:r>
            <w:fldChar w:fldCharType="separate"/>
          </w:r>
          <w:r>
            <w:t>23</w:t>
          </w:r>
          <w:r>
            <w:fldChar w:fldCharType="end"/>
          </w:r>
          <w:r>
            <w:rPr>
              <w:rFonts w:hint="eastAsia" w:asciiTheme="minorHAnsi" w:hAnsiTheme="minorHAnsi" w:eastAsiaTheme="minorEastAsia" w:cstheme="minorBidi"/>
              <w:kern w:val="2"/>
              <w:szCs w:val="24"/>
              <w:lang w:val="en-US" w:eastAsia="zh-CN" w:bidi="ar-SA"/>
            </w:rPr>
            <w:fldChar w:fldCharType="end"/>
          </w:r>
        </w:p>
        <w:p w14:paraId="558A05CF">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_Toc15273 </w:instrText>
          </w:r>
          <w:r>
            <w:rPr>
              <w:rFonts w:hint="eastAsia" w:asciiTheme="minorHAnsi" w:hAnsiTheme="minorHAnsi" w:eastAsiaTheme="minorEastAsia" w:cstheme="minorBidi"/>
              <w:kern w:val="2"/>
              <w:szCs w:val="24"/>
              <w:lang w:val="en-US" w:eastAsia="zh-CN" w:bidi="ar-SA"/>
            </w:rPr>
            <w:fldChar w:fldCharType="separate"/>
          </w:r>
          <w:r>
            <w:rPr>
              <w:rFonts w:hint="eastAsia"/>
            </w:rPr>
            <w:t>（五）学习评价</w:t>
          </w:r>
          <w:r>
            <w:tab/>
          </w:r>
          <w:r>
            <w:fldChar w:fldCharType="begin"/>
          </w:r>
          <w:r>
            <w:instrText xml:space="preserve"> PAGEREF _Toc15273 \h </w:instrText>
          </w:r>
          <w:r>
            <w:fldChar w:fldCharType="separate"/>
          </w:r>
          <w:r>
            <w:t>24</w:t>
          </w:r>
          <w:r>
            <w:fldChar w:fldCharType="end"/>
          </w:r>
          <w:r>
            <w:rPr>
              <w:rFonts w:hint="eastAsia" w:asciiTheme="minorHAnsi" w:hAnsiTheme="minorHAnsi" w:eastAsiaTheme="minorEastAsia" w:cstheme="minorBidi"/>
              <w:kern w:val="2"/>
              <w:szCs w:val="24"/>
              <w:lang w:val="en-US" w:eastAsia="zh-CN" w:bidi="ar-SA"/>
            </w:rPr>
            <w:fldChar w:fldCharType="end"/>
          </w:r>
        </w:p>
        <w:p w14:paraId="6B4FB277">
          <w:pPr>
            <w:pStyle w:val="10"/>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_Toc17644 </w:instrText>
          </w:r>
          <w:r>
            <w:rPr>
              <w:rFonts w:hint="eastAsia" w:asciiTheme="minorHAnsi" w:hAnsiTheme="minorHAnsi" w:eastAsiaTheme="minorEastAsia" w:cstheme="minorBidi"/>
              <w:kern w:val="2"/>
              <w:szCs w:val="24"/>
              <w:lang w:val="en-US" w:eastAsia="zh-CN" w:bidi="ar-SA"/>
            </w:rPr>
            <w:fldChar w:fldCharType="separate"/>
          </w:r>
          <w:r>
            <w:rPr>
              <w:rFonts w:hint="eastAsia"/>
            </w:rPr>
            <w:t>（六）质量管理</w:t>
          </w:r>
          <w:r>
            <w:tab/>
          </w:r>
          <w:r>
            <w:fldChar w:fldCharType="begin"/>
          </w:r>
          <w:r>
            <w:instrText xml:space="preserve"> PAGEREF _Toc17644 \h </w:instrText>
          </w:r>
          <w:r>
            <w:fldChar w:fldCharType="separate"/>
          </w:r>
          <w:r>
            <w:t>24</w:t>
          </w:r>
          <w:r>
            <w:fldChar w:fldCharType="end"/>
          </w:r>
          <w:r>
            <w:rPr>
              <w:rFonts w:hint="eastAsia" w:asciiTheme="minorHAnsi" w:hAnsiTheme="minorHAnsi" w:eastAsiaTheme="minorEastAsia" w:cstheme="minorBidi"/>
              <w:kern w:val="2"/>
              <w:szCs w:val="24"/>
              <w:lang w:val="en-US" w:eastAsia="zh-CN" w:bidi="ar-SA"/>
            </w:rPr>
            <w:fldChar w:fldCharType="end"/>
          </w:r>
        </w:p>
        <w:p w14:paraId="48BECE73">
          <w:pPr>
            <w:pStyle w:val="9"/>
            <w:tabs>
              <w:tab w:val="right" w:leader="dot" w:pos="8306"/>
            </w:tabs>
          </w:pPr>
          <w:r>
            <w:rPr>
              <w:rFonts w:hint="eastAsia" w:asciiTheme="minorHAnsi" w:hAnsiTheme="minorHAnsi" w:eastAsiaTheme="minorEastAsia" w:cstheme="minorBidi"/>
              <w:kern w:val="2"/>
              <w:szCs w:val="24"/>
              <w:lang w:val="en-US" w:eastAsia="zh-CN" w:bidi="ar-SA"/>
            </w:rPr>
            <w:fldChar w:fldCharType="begin"/>
          </w:r>
          <w:r>
            <w:rPr>
              <w:rFonts w:hint="eastAsia" w:asciiTheme="minorHAnsi" w:hAnsiTheme="minorHAnsi" w:eastAsiaTheme="minorEastAsia" w:cstheme="minorBidi"/>
              <w:kern w:val="2"/>
              <w:szCs w:val="24"/>
              <w:lang w:val="en-US" w:eastAsia="zh-CN" w:bidi="ar-SA"/>
            </w:rPr>
            <w:instrText xml:space="preserve"> HYPERLINK \l _Toc12781 </w:instrText>
          </w:r>
          <w:r>
            <w:rPr>
              <w:rFonts w:hint="eastAsia" w:asciiTheme="minorHAnsi" w:hAnsiTheme="minorHAnsi" w:eastAsiaTheme="minorEastAsia" w:cstheme="minorBidi"/>
              <w:kern w:val="2"/>
              <w:szCs w:val="24"/>
              <w:lang w:val="en-US" w:eastAsia="zh-CN" w:bidi="ar-SA"/>
            </w:rPr>
            <w:fldChar w:fldCharType="separate"/>
          </w:r>
          <w:r>
            <w:rPr>
              <w:rFonts w:hint="eastAsia"/>
              <w:lang w:val="en-US" w:eastAsia="zh-CN"/>
            </w:rPr>
            <w:t>九</w:t>
          </w:r>
          <w:r>
            <w:rPr>
              <w:rFonts w:hint="eastAsia"/>
            </w:rPr>
            <w:t>、毕业要求</w:t>
          </w:r>
          <w:r>
            <w:tab/>
          </w:r>
          <w:r>
            <w:fldChar w:fldCharType="begin"/>
          </w:r>
          <w:r>
            <w:instrText xml:space="preserve"> PAGEREF _Toc12781 \h </w:instrText>
          </w:r>
          <w:r>
            <w:fldChar w:fldCharType="separate"/>
          </w:r>
          <w:r>
            <w:t>25</w:t>
          </w:r>
          <w:r>
            <w:fldChar w:fldCharType="end"/>
          </w:r>
          <w:r>
            <w:rPr>
              <w:rFonts w:hint="eastAsia" w:asciiTheme="minorHAnsi" w:hAnsiTheme="minorHAnsi" w:eastAsiaTheme="minorEastAsia" w:cstheme="minorBidi"/>
              <w:kern w:val="2"/>
              <w:szCs w:val="24"/>
              <w:lang w:val="en-US" w:eastAsia="zh-CN" w:bidi="ar-SA"/>
            </w:rPr>
            <w:fldChar w:fldCharType="end"/>
          </w:r>
        </w:p>
        <w:p w14:paraId="4152E296">
          <w:pPr>
            <w:rPr>
              <w:rFonts w:hint="eastAsia" w:asciiTheme="minorHAnsi" w:hAnsiTheme="minorHAnsi" w:eastAsiaTheme="minorEastAsia" w:cstheme="minorBidi"/>
              <w:kern w:val="2"/>
              <w:sz w:val="30"/>
              <w:szCs w:val="24"/>
              <w:lang w:val="en-US" w:eastAsia="zh-CN" w:bidi="ar-SA"/>
            </w:rPr>
          </w:pPr>
          <w:r>
            <w:rPr>
              <w:rFonts w:hint="eastAsia" w:asciiTheme="minorHAnsi" w:hAnsiTheme="minorHAnsi" w:eastAsiaTheme="minorEastAsia" w:cstheme="minorBidi"/>
              <w:kern w:val="2"/>
              <w:szCs w:val="24"/>
              <w:lang w:val="en-US" w:eastAsia="zh-CN" w:bidi="ar-SA"/>
            </w:rPr>
            <w:fldChar w:fldCharType="end"/>
          </w:r>
        </w:p>
      </w:sdtContent>
    </w:sdt>
    <w:p w14:paraId="61571852">
      <w:pPr>
        <w:rPr>
          <w:rFonts w:hint="eastAsia" w:asciiTheme="minorHAnsi" w:hAnsiTheme="minorHAnsi" w:eastAsiaTheme="minorEastAsia" w:cstheme="minorBidi"/>
          <w:kern w:val="2"/>
          <w:sz w:val="30"/>
          <w:szCs w:val="24"/>
          <w:lang w:val="en-US" w:eastAsia="zh-CN" w:bidi="ar-SA"/>
        </w:rPr>
      </w:pPr>
    </w:p>
    <w:p w14:paraId="6836393F">
      <w:pPr>
        <w:rPr>
          <w:rFonts w:hint="eastAsia" w:ascii="仿宋_GB2312" w:hAnsi="仿宋_GB2312" w:eastAsia="仿宋_GB2312" w:cs="仿宋_GB2312"/>
          <w:b/>
          <w:bCs/>
          <w:color w:val="auto"/>
          <w:kern w:val="0"/>
          <w:sz w:val="30"/>
          <w:szCs w:val="30"/>
          <w:lang w:val="en-US" w:eastAsia="zh-CN" w:bidi="ar"/>
        </w:rPr>
      </w:pPr>
    </w:p>
    <w:p w14:paraId="30AC0819">
      <w:pPr>
        <w:rPr>
          <w:rFonts w:hint="eastAsia" w:ascii="仿宋_GB2312" w:hAnsi="仿宋_GB2312" w:eastAsia="仿宋_GB2312" w:cs="仿宋_GB2312"/>
          <w:b/>
          <w:bCs/>
          <w:color w:val="auto"/>
          <w:kern w:val="0"/>
          <w:sz w:val="30"/>
          <w:szCs w:val="30"/>
          <w:lang w:val="en-US" w:eastAsia="zh-CN" w:bidi="ar"/>
        </w:rPr>
      </w:pPr>
    </w:p>
    <w:p w14:paraId="03155E6A">
      <w:pPr>
        <w:rPr>
          <w:rFonts w:hint="eastAsia" w:ascii="仿宋_GB2312" w:hAnsi="仿宋_GB2312" w:eastAsia="仿宋_GB2312" w:cs="仿宋_GB2312"/>
          <w:b/>
          <w:bCs/>
          <w:color w:val="auto"/>
          <w:kern w:val="0"/>
          <w:sz w:val="30"/>
          <w:szCs w:val="30"/>
          <w:lang w:val="en-US" w:eastAsia="zh-CN" w:bidi="ar"/>
        </w:rPr>
      </w:pPr>
      <w:r>
        <w:rPr>
          <w:rFonts w:hint="eastAsia" w:ascii="仿宋_GB2312" w:hAnsi="仿宋_GB2312" w:eastAsia="仿宋_GB2312" w:cs="仿宋_GB2312"/>
          <w:b/>
          <w:bCs/>
          <w:color w:val="auto"/>
          <w:kern w:val="0"/>
          <w:sz w:val="30"/>
          <w:szCs w:val="30"/>
          <w:lang w:val="en-US" w:eastAsia="zh-CN" w:bidi="ar"/>
        </w:rPr>
        <w:br w:type="page"/>
      </w:r>
    </w:p>
    <w:p w14:paraId="74AAF939">
      <w:pPr>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b/>
          <w:bCs/>
          <w:color w:val="auto"/>
          <w:kern w:val="0"/>
          <w:sz w:val="30"/>
          <w:szCs w:val="30"/>
          <w:lang w:val="en-US" w:eastAsia="zh-CN" w:bidi="ar"/>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p>
    <w:p w14:paraId="7BC37AA1">
      <w:pPr>
        <w:pStyle w:val="2"/>
        <w:bidi w:val="0"/>
        <w:rPr>
          <w:rFonts w:hint="eastAsia"/>
        </w:rPr>
      </w:pPr>
      <w:bookmarkStart w:id="1" w:name="_Toc11840"/>
      <w:r>
        <w:rPr>
          <w:rFonts w:hint="eastAsia"/>
        </w:rPr>
        <w:t>一、专业名称及代码</w:t>
      </w:r>
      <w:bookmarkEnd w:id="1"/>
    </w:p>
    <w:p w14:paraId="3D66B7E8">
      <w:pPr>
        <w:bidi w:val="0"/>
        <w:rPr>
          <w:rFonts w:hint="eastAsia"/>
        </w:rPr>
      </w:pPr>
      <w:r>
        <w:rPr>
          <w:rFonts w:hint="eastAsia"/>
        </w:rPr>
        <w:t>专业名称：民间传统工艺</w:t>
      </w:r>
    </w:p>
    <w:p w14:paraId="49ECEE5F">
      <w:pPr>
        <w:bidi w:val="0"/>
        <w:rPr>
          <w:rFonts w:hint="eastAsia"/>
        </w:rPr>
      </w:pPr>
      <w:r>
        <w:rPr>
          <w:rFonts w:hint="eastAsia"/>
        </w:rPr>
        <w:t>专业代码：750305</w:t>
      </w:r>
    </w:p>
    <w:p w14:paraId="5AB5B124">
      <w:pPr>
        <w:pStyle w:val="2"/>
        <w:bidi w:val="0"/>
        <w:rPr>
          <w:rFonts w:hint="eastAsia"/>
        </w:rPr>
      </w:pPr>
      <w:bookmarkStart w:id="2" w:name="bookmark2"/>
      <w:bookmarkEnd w:id="2"/>
      <w:bookmarkStart w:id="3" w:name="_Toc6702"/>
      <w:r>
        <w:rPr>
          <w:rFonts w:hint="eastAsia"/>
        </w:rPr>
        <w:t>二、入学要求</w:t>
      </w:r>
      <w:bookmarkEnd w:id="3"/>
    </w:p>
    <w:p w14:paraId="395ADEE7">
      <w:pPr>
        <w:bidi w:val="0"/>
        <w:ind w:firstLine="600" w:firstLineChars="200"/>
        <w:rPr>
          <w:rFonts w:hint="eastAsia" w:ascii="Times New Roman" w:hAnsi="Times New Roman" w:eastAsia="仿宋_GB2312" w:cstheme="minorBidi"/>
          <w:kern w:val="2"/>
          <w:sz w:val="30"/>
          <w:szCs w:val="24"/>
          <w:lang w:val="en-US" w:eastAsia="zh-CN" w:bidi="ar-SA"/>
        </w:rPr>
      </w:pPr>
      <w:bookmarkStart w:id="4" w:name="bookmark3"/>
      <w:bookmarkEnd w:id="4"/>
      <w:bookmarkStart w:id="5" w:name="bookmark4"/>
      <w:bookmarkEnd w:id="5"/>
      <w:r>
        <w:rPr>
          <w:rFonts w:hint="eastAsia" w:ascii="Times New Roman" w:hAnsi="Times New Roman" w:eastAsia="仿宋_GB2312" w:cstheme="minorBidi"/>
          <w:kern w:val="2"/>
          <w:sz w:val="30"/>
          <w:szCs w:val="24"/>
          <w:lang w:val="en-US" w:eastAsia="zh-CN" w:bidi="ar-SA"/>
        </w:rPr>
        <w:t>初级中等学校毕业或具备同等学力</w:t>
      </w:r>
      <w:bookmarkStart w:id="6" w:name="bookmark3_ai"/>
      <w:bookmarkEnd w:id="6"/>
      <w:bookmarkStart w:id="7" w:name="bookmark4_ai"/>
      <w:bookmarkEnd w:id="7"/>
    </w:p>
    <w:p w14:paraId="033BD649">
      <w:pPr>
        <w:pStyle w:val="2"/>
        <w:bidi w:val="0"/>
        <w:rPr>
          <w:rFonts w:hint="eastAsia"/>
        </w:rPr>
      </w:pPr>
      <w:bookmarkStart w:id="8" w:name="_Toc3126"/>
      <w:r>
        <w:rPr>
          <w:rFonts w:hint="eastAsia"/>
        </w:rPr>
        <w:t>三、修业年限</w:t>
      </w:r>
      <w:bookmarkEnd w:id="8"/>
    </w:p>
    <w:p w14:paraId="76B46BD1">
      <w:pPr>
        <w:bidi w:val="0"/>
        <w:rPr>
          <w:rFonts w:hint="eastAsia"/>
        </w:rPr>
      </w:pPr>
      <w:r>
        <w:rPr>
          <w:rFonts w:hint="eastAsia"/>
        </w:rPr>
        <w:t>三年</w:t>
      </w:r>
    </w:p>
    <w:p w14:paraId="63BD04D6">
      <w:pPr>
        <w:pStyle w:val="2"/>
        <w:bidi w:val="0"/>
        <w:ind w:firstLine="640" w:firstLineChars="200"/>
        <w:rPr>
          <w:rFonts w:hint="eastAsia" w:ascii="Times New Roman" w:hAnsi="Times New Roman" w:eastAsia="黑体" w:cs="Times New Roman"/>
          <w:color w:val="000000" w:themeColor="text1"/>
          <w:kern w:val="0"/>
          <w:sz w:val="32"/>
          <w:szCs w:val="44"/>
          <w:lang w:val="en-GB" w:eastAsia="en-US" w:bidi="ar-SA"/>
          <w14:textFill>
            <w14:solidFill>
              <w14:schemeClr w14:val="tx1"/>
            </w14:solidFill>
          </w14:textFill>
        </w:rPr>
      </w:pPr>
      <w:bookmarkStart w:id="9" w:name="bookmark5"/>
      <w:bookmarkEnd w:id="9"/>
      <w:bookmarkStart w:id="10" w:name="bookmark31"/>
      <w:bookmarkEnd w:id="10"/>
      <w:bookmarkStart w:id="11" w:name="_Toc21717"/>
      <w:r>
        <w:rPr>
          <w:rFonts w:hint="eastAsia" w:ascii="Times New Roman" w:hAnsi="Times New Roman" w:eastAsia="黑体" w:cs="Times New Roman"/>
          <w:color w:val="000000" w:themeColor="text1"/>
          <w:kern w:val="0"/>
          <w:sz w:val="32"/>
          <w:szCs w:val="44"/>
          <w:lang w:val="en-GB" w:eastAsia="en-US" w:bidi="ar-SA"/>
          <w14:textFill>
            <w14:solidFill>
              <w14:schemeClr w14:val="tx1"/>
            </w14:solidFill>
          </w14:textFill>
        </w:rPr>
        <w:t>四、职业面向及主要接续专业</w:t>
      </w:r>
      <w:bookmarkEnd w:id="11"/>
      <w:bookmarkStart w:id="12" w:name="bookmark5_ai"/>
      <w:bookmarkEnd w:id="12"/>
      <w:bookmarkStart w:id="13" w:name="_Toc20704_ai"/>
      <w:bookmarkEnd w:id="13"/>
    </w:p>
    <w:p w14:paraId="79AC4ECF">
      <w:pPr>
        <w:pStyle w:val="3"/>
        <w:bidi w:val="0"/>
        <w:rPr>
          <w:rFonts w:hint="eastAsia"/>
        </w:rPr>
      </w:pPr>
      <w:bookmarkStart w:id="14" w:name="_Toc7741"/>
      <w:r>
        <w:rPr>
          <w:rFonts w:hint="eastAsia"/>
        </w:rPr>
        <w:t>（一）职业面向</w:t>
      </w:r>
      <w:bookmarkEnd w:id="14"/>
    </w:p>
    <w:tbl>
      <w:tblPr>
        <w:tblStyle w:val="16"/>
        <w:tblW w:w="975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30"/>
        <w:gridCol w:w="1231"/>
        <w:gridCol w:w="1884"/>
        <w:gridCol w:w="1899"/>
        <w:gridCol w:w="2512"/>
        <w:gridCol w:w="1200"/>
      </w:tblGrid>
      <w:tr w14:paraId="52443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2" w:hRule="atLeast"/>
          <w:jc w:val="center"/>
        </w:trPr>
        <w:tc>
          <w:tcPr>
            <w:tcW w:w="1030" w:type="dxa"/>
            <w:vAlign w:val="center"/>
          </w:tcPr>
          <w:p w14:paraId="59AAD71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所属专业大类（代码）A</w:t>
            </w:r>
          </w:p>
        </w:tc>
        <w:tc>
          <w:tcPr>
            <w:tcW w:w="1230" w:type="dxa"/>
            <w:vAlign w:val="center"/>
          </w:tcPr>
          <w:p w14:paraId="28432E2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所属专业类（代码）B</w:t>
            </w:r>
          </w:p>
        </w:tc>
        <w:tc>
          <w:tcPr>
            <w:tcW w:w="0" w:type="auto"/>
            <w:vAlign w:val="center"/>
          </w:tcPr>
          <w:p w14:paraId="0B7BFE3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对应行业（代码）C</w:t>
            </w:r>
          </w:p>
        </w:tc>
        <w:tc>
          <w:tcPr>
            <w:tcW w:w="0" w:type="auto"/>
            <w:vAlign w:val="center"/>
          </w:tcPr>
          <w:p w14:paraId="07FB911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主要职业类别（代码）D</w:t>
            </w:r>
          </w:p>
        </w:tc>
        <w:tc>
          <w:tcPr>
            <w:tcW w:w="0" w:type="auto"/>
            <w:vAlign w:val="center"/>
          </w:tcPr>
          <w:p w14:paraId="14FD4B1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主要岗位 类别（或技术领域）E</w:t>
            </w:r>
          </w:p>
        </w:tc>
        <w:tc>
          <w:tcPr>
            <w:tcW w:w="0" w:type="auto"/>
            <w:vAlign w:val="center"/>
          </w:tcPr>
          <w:p w14:paraId="5F9FA964">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b/>
                <w:bCs/>
                <w:sz w:val="24"/>
                <w:szCs w:val="21"/>
              </w:rPr>
            </w:pPr>
            <w:r>
              <w:rPr>
                <w:rFonts w:hint="eastAsia"/>
                <w:b/>
                <w:bCs/>
                <w:sz w:val="24"/>
                <w:szCs w:val="21"/>
              </w:rPr>
              <w:t>职业资格证书或技能等级证书 F</w:t>
            </w:r>
          </w:p>
        </w:tc>
      </w:tr>
      <w:tr w14:paraId="3FE32F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29" w:hRule="atLeast"/>
          <w:jc w:val="center"/>
        </w:trPr>
        <w:tc>
          <w:tcPr>
            <w:tcW w:w="1030" w:type="dxa"/>
            <w:vAlign w:val="center"/>
          </w:tcPr>
          <w:p w14:paraId="2C83B88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rPr>
            </w:pPr>
            <w:r>
              <w:rPr>
                <w:rFonts w:hint="eastAsia"/>
                <w:sz w:val="24"/>
                <w:szCs w:val="21"/>
              </w:rPr>
              <w:t>文化艺术大类（7</w:t>
            </w:r>
            <w:r>
              <w:rPr>
                <w:rFonts w:hint="eastAsia"/>
                <w:sz w:val="24"/>
                <w:szCs w:val="21"/>
                <w:lang w:val="en-US" w:eastAsia="zh-CN"/>
              </w:rPr>
              <w:t>5</w:t>
            </w:r>
            <w:r>
              <w:rPr>
                <w:rFonts w:hint="eastAsia"/>
                <w:sz w:val="24"/>
                <w:szCs w:val="21"/>
              </w:rPr>
              <w:t>）</w:t>
            </w:r>
          </w:p>
        </w:tc>
        <w:tc>
          <w:tcPr>
            <w:tcW w:w="1230" w:type="dxa"/>
            <w:vAlign w:val="center"/>
          </w:tcPr>
          <w:p w14:paraId="4F4EF77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rPr>
            </w:pPr>
            <w:r>
              <w:rPr>
                <w:rFonts w:hint="eastAsia"/>
                <w:sz w:val="24"/>
                <w:szCs w:val="21"/>
              </w:rPr>
              <w:t>民族文化艺术类（7</w:t>
            </w:r>
            <w:r>
              <w:rPr>
                <w:rFonts w:hint="eastAsia"/>
                <w:sz w:val="24"/>
                <w:szCs w:val="21"/>
                <w:lang w:val="en-US" w:eastAsia="zh-CN"/>
              </w:rPr>
              <w:t>503</w:t>
            </w:r>
            <w:r>
              <w:rPr>
                <w:rFonts w:hint="eastAsia"/>
                <w:sz w:val="24"/>
                <w:szCs w:val="21"/>
              </w:rPr>
              <w:t>）</w:t>
            </w:r>
          </w:p>
        </w:tc>
        <w:tc>
          <w:tcPr>
            <w:tcW w:w="0" w:type="auto"/>
            <w:vAlign w:val="center"/>
          </w:tcPr>
          <w:p w14:paraId="716B123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lang w:eastAsia="zh-CN"/>
              </w:rPr>
            </w:pPr>
            <w:r>
              <w:rPr>
                <w:rFonts w:hint="eastAsia"/>
                <w:sz w:val="24"/>
                <w:szCs w:val="21"/>
              </w:rPr>
              <w:t>文教、工美、体育和娱乐用品制造业</w:t>
            </w:r>
            <w:r>
              <w:rPr>
                <w:rFonts w:hint="eastAsia"/>
                <w:sz w:val="24"/>
                <w:szCs w:val="21"/>
                <w:lang w:eastAsia="zh-CN"/>
              </w:rPr>
              <w:t>（</w:t>
            </w:r>
            <w:r>
              <w:rPr>
                <w:rFonts w:hint="eastAsia"/>
                <w:sz w:val="24"/>
                <w:szCs w:val="21"/>
              </w:rPr>
              <w:t>24</w:t>
            </w:r>
            <w:r>
              <w:rPr>
                <w:rFonts w:hint="eastAsia"/>
                <w:sz w:val="24"/>
                <w:szCs w:val="21"/>
                <w:lang w:eastAsia="zh-CN"/>
              </w:rPr>
              <w:t>）</w:t>
            </w:r>
          </w:p>
        </w:tc>
        <w:tc>
          <w:tcPr>
            <w:tcW w:w="0" w:type="auto"/>
            <w:vAlign w:val="center"/>
          </w:tcPr>
          <w:p w14:paraId="13817D3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lang w:eastAsia="zh-CN"/>
              </w:rPr>
            </w:pPr>
            <w:r>
              <w:rPr>
                <w:rFonts w:hint="eastAsia"/>
                <w:sz w:val="24"/>
                <w:szCs w:val="21"/>
              </w:rPr>
              <w:t>工艺美术品制造人员</w:t>
            </w:r>
            <w:r>
              <w:rPr>
                <w:rFonts w:hint="eastAsia"/>
                <w:sz w:val="24"/>
                <w:szCs w:val="21"/>
                <w:lang w:eastAsia="zh-CN"/>
              </w:rPr>
              <w:t>（</w:t>
            </w:r>
            <w:r>
              <w:rPr>
                <w:rFonts w:hint="eastAsia"/>
                <w:sz w:val="24"/>
                <w:szCs w:val="21"/>
              </w:rPr>
              <w:t>6-09-03</w:t>
            </w:r>
            <w:r>
              <w:rPr>
                <w:rFonts w:hint="eastAsia"/>
                <w:sz w:val="24"/>
                <w:szCs w:val="21"/>
                <w:lang w:eastAsia="zh-CN"/>
              </w:rPr>
              <w:t>）</w:t>
            </w:r>
          </w:p>
        </w:tc>
        <w:tc>
          <w:tcPr>
            <w:tcW w:w="0" w:type="auto"/>
            <w:vAlign w:val="center"/>
          </w:tcPr>
          <w:p w14:paraId="396CC978">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lang w:val="en-US" w:eastAsia="zh-CN"/>
              </w:rPr>
            </w:pPr>
            <w:r>
              <w:rPr>
                <w:rFonts w:hint="eastAsia"/>
                <w:sz w:val="24"/>
                <w:szCs w:val="21"/>
              </w:rPr>
              <w:t>民族工艺品、旅游工艺品、文化创意产品的设计、制作、生产、营销</w:t>
            </w:r>
          </w:p>
        </w:tc>
        <w:tc>
          <w:tcPr>
            <w:tcW w:w="0" w:type="auto"/>
            <w:vAlign w:val="center"/>
          </w:tcPr>
          <w:p w14:paraId="08EF9A2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sz w:val="24"/>
                <w:szCs w:val="21"/>
              </w:rPr>
            </w:pPr>
            <w:r>
              <w:rPr>
                <w:rFonts w:hint="eastAsia"/>
                <w:sz w:val="24"/>
                <w:szCs w:val="21"/>
              </w:rPr>
              <w:t>工艺美术品设计师职业资格证书</w:t>
            </w:r>
          </w:p>
        </w:tc>
      </w:tr>
    </w:tbl>
    <w:p w14:paraId="17F8E164">
      <w:pPr>
        <w:pStyle w:val="3"/>
        <w:bidi w:val="0"/>
        <w:rPr>
          <w:rFonts w:hint="eastAsia"/>
          <w:lang w:val="en-US" w:eastAsia="zh-CN"/>
        </w:rPr>
      </w:pPr>
      <w:bookmarkStart w:id="15" w:name="_Toc6631"/>
      <w:r>
        <w:rPr>
          <w:rFonts w:hint="eastAsia"/>
        </w:rPr>
        <w:t>（二）主要接续专业</w:t>
      </w:r>
      <w:bookmarkEnd w:id="15"/>
    </w:p>
    <w:p w14:paraId="48EEB149">
      <w:pPr>
        <w:bidi w:val="0"/>
        <w:ind w:firstLine="602" w:firstLineChars="200"/>
        <w:rPr>
          <w:rFonts w:hint="default"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b/>
          <w:bCs/>
          <w:kern w:val="2"/>
          <w:sz w:val="30"/>
          <w:szCs w:val="24"/>
          <w:lang w:val="en-US" w:eastAsia="zh-CN" w:bidi="ar-SA"/>
        </w:rPr>
        <w:t>接续高职专科</w:t>
      </w:r>
      <w:r>
        <w:rPr>
          <w:rFonts w:hint="eastAsia" w:ascii="Times New Roman" w:hAnsi="Times New Roman" w:eastAsia="仿宋_GB2312" w:cstheme="minorBidi"/>
          <w:kern w:val="2"/>
          <w:sz w:val="30"/>
          <w:szCs w:val="24"/>
          <w:lang w:val="en-US" w:eastAsia="zh-CN" w:bidi="ar-SA"/>
        </w:rPr>
        <w:t>：民族传统技艺、工艺美术品设计、艺术设计、产品艺术设计</w:t>
      </w:r>
    </w:p>
    <w:p w14:paraId="639B2F68">
      <w:pPr>
        <w:bidi w:val="0"/>
        <w:ind w:firstLine="602" w:firstLineChars="200"/>
        <w:rPr>
          <w:rFonts w:hint="default"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b/>
          <w:bCs/>
          <w:kern w:val="2"/>
          <w:sz w:val="30"/>
          <w:szCs w:val="24"/>
          <w:lang w:val="en-US" w:eastAsia="zh-CN" w:bidi="ar-SA"/>
        </w:rPr>
        <w:t>接续高职本科</w:t>
      </w:r>
      <w:r>
        <w:rPr>
          <w:rFonts w:hint="eastAsia" w:ascii="Times New Roman" w:hAnsi="Times New Roman" w:eastAsia="仿宋_GB2312" w:cstheme="minorBidi"/>
          <w:kern w:val="2"/>
          <w:sz w:val="30"/>
          <w:szCs w:val="24"/>
          <w:lang w:val="en-US" w:eastAsia="zh-CN" w:bidi="ar-SA"/>
        </w:rPr>
        <w:t>：工艺美术、产品设计、时尚品设计</w:t>
      </w:r>
    </w:p>
    <w:p w14:paraId="58BDFF2B">
      <w:pPr>
        <w:bidi w:val="0"/>
        <w:ind w:firstLine="602" w:firstLineChars="200"/>
        <w:rPr>
          <w:rFonts w:hint="default"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b/>
          <w:bCs/>
          <w:kern w:val="2"/>
          <w:sz w:val="30"/>
          <w:szCs w:val="24"/>
          <w:lang w:val="en-US" w:eastAsia="zh-CN" w:bidi="ar-SA"/>
        </w:rPr>
        <w:t>接续普通本科</w:t>
      </w:r>
      <w:r>
        <w:rPr>
          <w:rFonts w:hint="eastAsia" w:ascii="Times New Roman" w:hAnsi="Times New Roman" w:eastAsia="仿宋_GB2312" w:cstheme="minorBidi"/>
          <w:kern w:val="2"/>
          <w:sz w:val="30"/>
          <w:szCs w:val="24"/>
          <w:lang w:val="en-US" w:eastAsia="zh-CN" w:bidi="ar-SA"/>
        </w:rPr>
        <w:t>：工艺美术、产品设计、艺术设计学、非物质文化遗产保护</w:t>
      </w:r>
    </w:p>
    <w:p w14:paraId="70D7CDAE">
      <w:pPr>
        <w:pStyle w:val="2"/>
        <w:bidi w:val="0"/>
        <w:rPr>
          <w:rFonts w:hint="eastAsia"/>
          <w:lang w:val="en-US" w:eastAsia="zh-CN"/>
        </w:rPr>
      </w:pPr>
      <w:bookmarkStart w:id="16" w:name="_Toc6709"/>
      <w:r>
        <w:rPr>
          <w:rFonts w:hint="eastAsia"/>
          <w:lang w:val="en-US" w:eastAsia="zh-CN"/>
        </w:rPr>
        <w:t>五、培养目标与培养规格</w:t>
      </w:r>
      <w:bookmarkEnd w:id="16"/>
    </w:p>
    <w:p w14:paraId="593E9F70">
      <w:pPr>
        <w:pStyle w:val="3"/>
        <w:bidi w:val="0"/>
        <w:rPr>
          <w:rFonts w:hint="eastAsia"/>
          <w:lang w:val="en-US" w:eastAsia="zh-CN"/>
        </w:rPr>
      </w:pPr>
      <w:bookmarkStart w:id="17" w:name="_Toc3741"/>
      <w:r>
        <w:rPr>
          <w:rFonts w:hint="eastAsia"/>
          <w:lang w:val="en-US" w:eastAsia="zh-CN"/>
        </w:rPr>
        <w:t>（一）培养目标</w:t>
      </w:r>
      <w:bookmarkEnd w:id="17"/>
    </w:p>
    <w:p w14:paraId="7607EAA1">
      <w:pPr>
        <w:bidi w:val="0"/>
        <w:rPr>
          <w:rFonts w:hint="eastAsia"/>
          <w:lang w:val="en-US" w:eastAsia="zh-CN"/>
        </w:rPr>
      </w:pPr>
      <w:r>
        <w:rPr>
          <w:rFonts w:hint="eastAsia"/>
          <w:lang w:val="en-US" w:eastAsia="zh-CN"/>
        </w:rPr>
        <w:t>本专业坚持立德树人，面向民间传统工艺和工艺美术等行业企业，培养德智体美劳全面发展，掌握扎实的科学文化基础和工艺品设计理论与设计方法等知识，具备工艺品设计图绘制、产品成型、装饰制作等能力，具有工匠精神和信息素养，能够从事工艺美术、陶瓷等民间传统工艺设计与制作方面等工作的具有较强实际操作能力的高素质劳动者和技术技能人才。</w:t>
      </w:r>
    </w:p>
    <w:p w14:paraId="465593CB">
      <w:pPr>
        <w:pStyle w:val="3"/>
        <w:bidi w:val="0"/>
        <w:rPr>
          <w:rFonts w:hint="eastAsia"/>
          <w:lang w:val="en-US" w:eastAsia="zh-CN"/>
        </w:rPr>
      </w:pPr>
      <w:bookmarkStart w:id="18" w:name="_Toc9184"/>
      <w:r>
        <w:rPr>
          <w:rFonts w:hint="eastAsia"/>
          <w:lang w:val="en-US" w:eastAsia="zh-CN"/>
        </w:rPr>
        <w:t>（二）培养规格</w:t>
      </w:r>
      <w:bookmarkEnd w:id="18"/>
    </w:p>
    <w:p w14:paraId="5E732AD8">
      <w:pPr>
        <w:bidi w:val="0"/>
        <w:rPr>
          <w:rFonts w:hint="eastAsia"/>
          <w:lang w:val="en-US" w:eastAsia="zh-CN"/>
        </w:rPr>
      </w:pPr>
      <w:r>
        <w:rPr>
          <w:rFonts w:hint="eastAsia"/>
          <w:lang w:val="en-US" w:eastAsia="zh-CN"/>
        </w:rPr>
        <w:t>本专业毕业生应具有以下职业素养、专业知识和技能：</w:t>
      </w:r>
    </w:p>
    <w:p w14:paraId="7F9FBA67">
      <w:pPr>
        <w:pStyle w:val="4"/>
        <w:keepNext w:val="0"/>
        <w:keepLines w:val="0"/>
        <w:pageBreakBefore w:val="0"/>
        <w:widowControl w:val="0"/>
        <w:kinsoku/>
        <w:wordWrap/>
        <w:overflowPunct/>
        <w:topLinePunct w:val="0"/>
        <w:autoSpaceDE/>
        <w:autoSpaceDN/>
        <w:bidi w:val="0"/>
        <w:adjustRightInd/>
        <w:snapToGrid/>
        <w:spacing w:beforeAutospacing="0" w:afterAutospacing="0"/>
        <w:textAlignment w:val="auto"/>
        <w:rPr>
          <w:rFonts w:hint="eastAsia"/>
          <w:lang w:val="en-US" w:eastAsia="zh-CN"/>
        </w:rPr>
      </w:pPr>
      <w:r>
        <w:rPr>
          <w:rFonts w:hint="eastAsia"/>
          <w:lang w:val="en-US" w:eastAsia="zh-CN"/>
        </w:rPr>
        <w:t>1.素质</w:t>
      </w:r>
    </w:p>
    <w:p w14:paraId="4C729C42">
      <w:pPr>
        <w:bidi w:val="0"/>
        <w:rPr>
          <w:rFonts w:hint="eastAsia"/>
          <w:lang w:val="en-US" w:eastAsia="zh-CN"/>
        </w:rPr>
      </w:pPr>
      <w:r>
        <w:rPr>
          <w:rFonts w:hint="eastAsia"/>
          <w:lang w:val="en-US" w:eastAsia="zh-CN"/>
        </w:rPr>
        <w:t>（1）热爱祖国，热爱文化艺术，遵守党和国家的民族政策与法律法规，传承优秀的民族文化；</w:t>
      </w:r>
    </w:p>
    <w:p w14:paraId="16F7DF8B">
      <w:pPr>
        <w:bidi w:val="0"/>
        <w:rPr>
          <w:rFonts w:hint="eastAsia"/>
          <w:lang w:val="en-US" w:eastAsia="zh-CN"/>
        </w:rPr>
      </w:pPr>
      <w:r>
        <w:rPr>
          <w:rFonts w:hint="eastAsia"/>
          <w:lang w:val="en-US" w:eastAsia="zh-CN"/>
        </w:rPr>
        <w:t>（2）具有良好的职业道德，能自觉遵守行业法规、规范和企业规章制度；</w:t>
      </w:r>
    </w:p>
    <w:p w14:paraId="509DB18E">
      <w:pPr>
        <w:bidi w:val="0"/>
        <w:rPr>
          <w:rFonts w:hint="eastAsia"/>
          <w:lang w:val="en-US" w:eastAsia="zh-CN"/>
        </w:rPr>
      </w:pPr>
      <w:r>
        <w:rPr>
          <w:rFonts w:hint="eastAsia"/>
          <w:lang w:val="en-US" w:eastAsia="zh-CN"/>
        </w:rPr>
        <w:t>（3）具有从事民间传统工艺职业的质量意识、创新意识、诚信意识和服务意识；</w:t>
      </w:r>
    </w:p>
    <w:p w14:paraId="4F53B512">
      <w:pPr>
        <w:bidi w:val="0"/>
        <w:rPr>
          <w:rFonts w:hint="eastAsia"/>
          <w:lang w:val="en-US" w:eastAsia="zh-CN"/>
        </w:rPr>
      </w:pPr>
      <w:r>
        <w:rPr>
          <w:rFonts w:hint="eastAsia"/>
          <w:lang w:val="en-US" w:eastAsia="zh-CN"/>
        </w:rPr>
        <w:t>（4）具有人际交往与团队协作能力；</w:t>
      </w:r>
    </w:p>
    <w:p w14:paraId="069119BE">
      <w:pPr>
        <w:bidi w:val="0"/>
        <w:rPr>
          <w:rFonts w:hint="eastAsia"/>
          <w:lang w:val="en-US" w:eastAsia="zh-CN"/>
        </w:rPr>
      </w:pPr>
      <w:r>
        <w:rPr>
          <w:rFonts w:hint="eastAsia"/>
          <w:lang w:val="en-US" w:eastAsia="zh-CN"/>
        </w:rPr>
        <w:t>（5）具有安全文明生产、节能环保和遵守操作规程的意识；</w:t>
      </w:r>
    </w:p>
    <w:p w14:paraId="3740E691">
      <w:pPr>
        <w:bidi w:val="0"/>
        <w:rPr>
          <w:rFonts w:hint="eastAsia"/>
          <w:lang w:val="en-US" w:eastAsia="zh-CN"/>
        </w:rPr>
      </w:pPr>
      <w:r>
        <w:rPr>
          <w:rFonts w:hint="eastAsia"/>
          <w:lang w:val="en-US" w:eastAsia="zh-CN"/>
        </w:rPr>
        <w:t>（6）具有继续学习和适应职业变化与创新创业的能力。</w:t>
      </w:r>
    </w:p>
    <w:p w14:paraId="057941AA">
      <w:pPr>
        <w:pStyle w:val="4"/>
        <w:bidi w:val="0"/>
        <w:rPr>
          <w:rFonts w:hint="eastAsia"/>
          <w:lang w:val="en-US" w:eastAsia="zh-CN"/>
        </w:rPr>
      </w:pPr>
      <w:r>
        <w:rPr>
          <w:rFonts w:hint="eastAsia"/>
          <w:lang w:val="en-US" w:eastAsia="zh-CN"/>
        </w:rPr>
        <w:t>2.知识</w:t>
      </w:r>
    </w:p>
    <w:p w14:paraId="66E7E50F">
      <w:pPr>
        <w:bidi w:val="0"/>
        <w:rPr>
          <w:rFonts w:hint="eastAsia"/>
          <w:lang w:val="en-US" w:eastAsia="zh-CN"/>
        </w:rPr>
      </w:pPr>
      <w:r>
        <w:rPr>
          <w:rFonts w:hint="eastAsia"/>
          <w:lang w:val="en-US" w:eastAsia="zh-CN"/>
        </w:rPr>
        <w:t>（1）掌握中职毕业生所必备的德育、语文、数学、英语、信息技术基础、体育、艺术等文化基础知识；</w:t>
      </w:r>
    </w:p>
    <w:p w14:paraId="0F5B94EF">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（2）掌握工艺品制作的基本理论、基本知识和基本技能，具备工艺品制作的实际操作能力；</w:t>
      </w:r>
    </w:p>
    <w:p w14:paraId="5BEEEA55">
      <w:pPr>
        <w:bidi w:val="0"/>
        <w:rPr>
          <w:rFonts w:hint="eastAsia"/>
          <w:lang w:val="en-US" w:eastAsia="zh-CN"/>
        </w:rPr>
      </w:pPr>
      <w:r>
        <w:rPr>
          <w:rFonts w:hint="eastAsia"/>
          <w:lang w:val="en-US" w:eastAsia="zh-CN"/>
        </w:rPr>
        <w:t>（3）掌握有关工艺品制作专业的印染、编结、木雕、陶艺等方面的专业基础知识及专业理论知识；</w:t>
      </w:r>
    </w:p>
    <w:p w14:paraId="0DF7D15C">
      <w:pPr>
        <w:bidi w:val="0"/>
        <w:rPr>
          <w:rFonts w:hint="eastAsia"/>
          <w:lang w:val="en-US" w:eastAsia="zh-CN"/>
        </w:rPr>
      </w:pPr>
      <w:r>
        <w:rPr>
          <w:rFonts w:hint="eastAsia"/>
          <w:lang w:val="en-US" w:eastAsia="zh-CN"/>
        </w:rPr>
        <w:t>（4）熟悉传统工艺各种材料的性质和加工；</w:t>
      </w:r>
    </w:p>
    <w:p w14:paraId="77395514">
      <w:pPr>
        <w:bidi w:val="0"/>
        <w:rPr>
          <w:rFonts w:hint="eastAsia"/>
          <w:lang w:val="en-US" w:eastAsia="zh-CN"/>
        </w:rPr>
      </w:pPr>
      <w:r>
        <w:rPr>
          <w:rFonts w:hint="eastAsia"/>
          <w:lang w:val="en-US" w:eastAsia="zh-CN"/>
        </w:rPr>
        <w:t>（5）掌握图案及色彩设计；</w:t>
      </w:r>
    </w:p>
    <w:p w14:paraId="4FAB15BC">
      <w:pPr>
        <w:bidi w:val="0"/>
        <w:rPr>
          <w:rFonts w:hint="eastAsia"/>
          <w:lang w:val="en-US" w:eastAsia="zh-CN"/>
        </w:rPr>
      </w:pPr>
      <w:r>
        <w:rPr>
          <w:rFonts w:hint="eastAsia"/>
          <w:lang w:val="en-US" w:eastAsia="zh-CN"/>
        </w:rPr>
        <w:t>（6）熟悉传统工艺的操作流程及制作方法；</w:t>
      </w:r>
    </w:p>
    <w:p w14:paraId="319BD02E">
      <w:pPr>
        <w:bidi w:val="0"/>
        <w:rPr>
          <w:rFonts w:hint="eastAsia"/>
          <w:lang w:val="en-US" w:eastAsia="zh-CN"/>
        </w:rPr>
      </w:pPr>
      <w:r>
        <w:rPr>
          <w:rFonts w:hint="eastAsia"/>
          <w:lang w:val="en-US" w:eastAsia="zh-CN"/>
        </w:rPr>
        <w:t>（7）掌握传统工艺技艺制作、质量标准和技术关键；</w:t>
      </w:r>
    </w:p>
    <w:p w14:paraId="23C6EEB1">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（8）掌握从事工艺品制作行业的相关方法和技能；</w:t>
      </w:r>
    </w:p>
    <w:p w14:paraId="68866699">
      <w:pPr>
        <w:bidi w:val="0"/>
        <w:rPr>
          <w:rFonts w:hint="eastAsia"/>
          <w:lang w:val="en-US" w:eastAsia="zh-CN"/>
        </w:rPr>
      </w:pPr>
      <w:r>
        <w:rPr>
          <w:rFonts w:hint="eastAsia"/>
          <w:lang w:val="en-US" w:eastAsia="zh-CN"/>
        </w:rPr>
        <w:t>（9）了解当前工艺品制作行业的发展现状；</w:t>
      </w:r>
    </w:p>
    <w:p w14:paraId="02D1546C">
      <w:pPr>
        <w:bidi w:val="0"/>
        <w:rPr>
          <w:rFonts w:hint="eastAsia"/>
          <w:lang w:val="en-US" w:eastAsia="zh-CN"/>
        </w:rPr>
      </w:pPr>
      <w:r>
        <w:rPr>
          <w:rFonts w:hint="eastAsia"/>
          <w:lang w:val="en-US" w:eastAsia="zh-CN"/>
        </w:rPr>
        <w:t>（10）了解民族传统工艺与当代工艺产品的内在联系和相互影响；</w:t>
      </w:r>
    </w:p>
    <w:p w14:paraId="657909D3">
      <w:pPr>
        <w:bidi w:val="0"/>
        <w:rPr>
          <w:rFonts w:hint="eastAsia"/>
          <w:lang w:val="en-US" w:eastAsia="zh-CN"/>
        </w:rPr>
      </w:pPr>
      <w:r>
        <w:rPr>
          <w:rFonts w:hint="eastAsia"/>
          <w:lang w:val="en-US" w:eastAsia="zh-CN"/>
        </w:rPr>
        <w:t>（11）了解传统工艺文化内涵及非物质文化遗产传承保护。</w:t>
      </w:r>
    </w:p>
    <w:p w14:paraId="6BAEDE41">
      <w:pPr>
        <w:pStyle w:val="4"/>
        <w:bidi w:val="0"/>
        <w:rPr>
          <w:rFonts w:hint="eastAsia"/>
          <w:lang w:val="en-US" w:eastAsia="zh-CN"/>
        </w:rPr>
      </w:pPr>
      <w:r>
        <w:rPr>
          <w:rFonts w:hint="eastAsia"/>
          <w:lang w:val="en-US" w:eastAsia="zh-CN"/>
        </w:rPr>
        <w:t>3.技能</w:t>
      </w:r>
    </w:p>
    <w:p w14:paraId="17A78AB9">
      <w:pPr>
        <w:bidi w:val="0"/>
        <w:rPr>
          <w:rFonts w:hint="eastAsia"/>
          <w:lang w:val="en-US" w:eastAsia="zh-CN"/>
        </w:rPr>
      </w:pPr>
      <w:r>
        <w:rPr>
          <w:rFonts w:hint="eastAsia"/>
          <w:lang w:val="en-US" w:eastAsia="zh-CN"/>
        </w:rPr>
        <w:t>（1）具有工艺品审美、鉴赏的能力；</w:t>
      </w:r>
    </w:p>
    <w:p w14:paraId="4BDD7438">
      <w:pPr>
        <w:bidi w:val="0"/>
        <w:rPr>
          <w:rFonts w:hint="eastAsia"/>
          <w:lang w:val="en-US" w:eastAsia="zh-CN"/>
        </w:rPr>
      </w:pPr>
      <w:r>
        <w:rPr>
          <w:rFonts w:hint="eastAsia"/>
          <w:lang w:val="en-US" w:eastAsia="zh-CN"/>
        </w:rPr>
        <w:t>（2）具有工艺品造型设计、色彩设计和装饰设计的能力；</w:t>
      </w:r>
    </w:p>
    <w:p w14:paraId="30C9EEA1">
      <w:pPr>
        <w:bidi w:val="0"/>
        <w:rPr>
          <w:rFonts w:hint="eastAsia"/>
          <w:lang w:val="en-US" w:eastAsia="zh-CN"/>
        </w:rPr>
      </w:pPr>
      <w:r>
        <w:rPr>
          <w:rFonts w:hint="eastAsia"/>
          <w:lang w:val="en-US" w:eastAsia="zh-CN"/>
        </w:rPr>
        <w:t>（3）具有传统工艺设计能力，具备独立设计和制作传统工艺品的能力；</w:t>
      </w:r>
    </w:p>
    <w:p w14:paraId="7F8E7108">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（4）掌握工艺品的传统制作技艺以及手工制作和批量化生产的能力；</w:t>
      </w:r>
    </w:p>
    <w:p w14:paraId="786B3762">
      <w:pPr>
        <w:bidi w:val="0"/>
        <w:rPr>
          <w:rFonts w:hint="eastAsia"/>
          <w:lang w:val="en-US" w:eastAsia="zh-CN"/>
        </w:rPr>
      </w:pPr>
      <w:r>
        <w:rPr>
          <w:rFonts w:hint="eastAsia"/>
          <w:lang w:val="en-US" w:eastAsia="zh-CN"/>
        </w:rPr>
        <w:t>（5）具备运用民间艺术元素进行创新设计的能力；</w:t>
      </w:r>
    </w:p>
    <w:p w14:paraId="4A036E3F">
      <w:pPr>
        <w:bidi w:val="0"/>
        <w:rPr>
          <w:rFonts w:hint="eastAsia"/>
          <w:lang w:val="en-US" w:eastAsia="zh-CN"/>
        </w:rPr>
      </w:pPr>
      <w:r>
        <w:rPr>
          <w:rFonts w:hint="eastAsia"/>
          <w:lang w:val="en-US" w:eastAsia="zh-CN"/>
        </w:rPr>
        <w:t>（6）具有工艺品手绘制图技法和数字化制图的能力；</w:t>
      </w:r>
    </w:p>
    <w:p w14:paraId="1C964CCE">
      <w:pPr>
        <w:bidi w:val="0"/>
        <w:rPr>
          <w:rFonts w:hint="eastAsia"/>
          <w:lang w:val="en-US" w:eastAsia="zh-CN"/>
        </w:rPr>
      </w:pPr>
      <w:r>
        <w:rPr>
          <w:rFonts w:hint="eastAsia"/>
          <w:lang w:val="en-US" w:eastAsia="zh-CN"/>
        </w:rPr>
        <w:t>（7）具有信息技术应用的能力；</w:t>
      </w:r>
    </w:p>
    <w:p w14:paraId="4F453C17">
      <w:pPr>
        <w:bidi w:val="0"/>
        <w:rPr>
          <w:rFonts w:hint="eastAsia"/>
          <w:lang w:val="en-US" w:eastAsia="zh-CN"/>
        </w:rPr>
      </w:pPr>
      <w:r>
        <w:rPr>
          <w:rFonts w:hint="eastAsia"/>
          <w:lang w:val="en-US" w:eastAsia="zh-CN"/>
        </w:rPr>
        <w:t>（8）具有自觉创新、自主创业的精神；</w:t>
      </w:r>
    </w:p>
    <w:p w14:paraId="392ED14A">
      <w:pPr>
        <w:bidi w:val="0"/>
        <w:rPr>
          <w:rFonts w:hint="eastAsia"/>
          <w:lang w:val="en-US" w:eastAsia="zh-CN"/>
        </w:rPr>
      </w:pPr>
      <w:r>
        <w:rPr>
          <w:rFonts w:hint="eastAsia"/>
          <w:lang w:val="en-US" w:eastAsia="zh-CN"/>
        </w:rPr>
        <w:t>（9）具有不断获取知识、开发自身潜能、适应岗位变更的能力；</w:t>
      </w:r>
    </w:p>
    <w:p w14:paraId="17BEAD25">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（10）具有较强的工作协调能力、人际交往的能力；</w:t>
      </w:r>
    </w:p>
    <w:p w14:paraId="707877CE">
      <w:pPr>
        <w:bidi w:val="0"/>
        <w:rPr>
          <w:rFonts w:hint="eastAsia"/>
          <w:lang w:val="en-US" w:eastAsia="zh-CN"/>
        </w:rPr>
      </w:pPr>
      <w:r>
        <w:rPr>
          <w:rFonts w:hint="eastAsia"/>
          <w:lang w:val="en-US" w:eastAsia="zh-CN"/>
        </w:rPr>
        <w:t>（11）具有终身学习和可持续发展的能力。</w:t>
      </w:r>
    </w:p>
    <w:p w14:paraId="62645896">
      <w:pPr>
        <w:pStyle w:val="2"/>
        <w:bidi w:val="0"/>
        <w:rPr>
          <w:rFonts w:hint="eastAsia"/>
          <w:lang w:val="en-US" w:eastAsia="zh-CN"/>
        </w:rPr>
      </w:pPr>
      <w:bookmarkStart w:id="19" w:name="_Toc21846"/>
      <w:r>
        <w:rPr>
          <w:rFonts w:hint="eastAsia"/>
          <w:lang w:val="en-US" w:eastAsia="zh-CN"/>
        </w:rPr>
        <w:t>六、课程设置及要求</w:t>
      </w:r>
      <w:bookmarkEnd w:id="19"/>
    </w:p>
    <w:p w14:paraId="42A14AAD">
      <w:pPr>
        <w:bidi w:val="0"/>
        <w:rPr>
          <w:rFonts w:hint="eastAsia"/>
          <w:lang w:val="en-US" w:eastAsia="zh-CN"/>
        </w:rPr>
      </w:pPr>
      <w:r>
        <w:rPr>
          <w:rFonts w:hint="eastAsia"/>
          <w:lang w:val="en-US" w:eastAsia="zh-CN"/>
        </w:rPr>
        <w:t>主要包括公共基础课程和专业课程。</w:t>
      </w:r>
    </w:p>
    <w:p w14:paraId="1541D2E2">
      <w:pPr>
        <w:bidi w:val="0"/>
        <w:rPr>
          <w:rFonts w:hint="eastAsia"/>
          <w:lang w:val="en-US" w:eastAsia="zh-CN"/>
        </w:rPr>
      </w:pPr>
      <w:r>
        <w:rPr>
          <w:rFonts w:hint="eastAsia"/>
          <w:lang w:val="en-US" w:eastAsia="zh-CN"/>
        </w:rPr>
        <w:t>按照国家有关规定开齐开足公共基础课程。</w:t>
      </w:r>
    </w:p>
    <w:p w14:paraId="55FFE883">
      <w:pPr>
        <w:bidi w:val="0"/>
        <w:rPr>
          <w:rFonts w:hint="eastAsia"/>
          <w:lang w:val="en-US" w:eastAsia="zh-CN"/>
        </w:rPr>
      </w:pPr>
      <w:r>
        <w:rPr>
          <w:rFonts w:hint="eastAsia"/>
          <w:lang w:val="en-US" w:eastAsia="zh-CN"/>
        </w:rPr>
        <w:t>应将思想政治、语文、历史、数学、外语（英语等）、信息技术、体育与健康、艺术、劳动教育等列为公共基础必修课程。将党史国史、中华优秀传统文化、国家安全教育、职业发展与就业指导、创新创业教育等列为必修课程或限定选修课程。</w:t>
      </w:r>
    </w:p>
    <w:p w14:paraId="015EA11F">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专业技能课一般包括专业基础课程、专业核心课程和专业拓展课程。专业基础课程是由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485F40A7">
      <w:pPr>
        <w:pStyle w:val="3"/>
        <w:bidi w:val="0"/>
        <w:rPr>
          <w:rFonts w:hint="eastAsia"/>
          <w:lang w:val="en-US" w:eastAsia="zh-CN"/>
        </w:rPr>
        <w:sectPr>
          <w:footerReference r:id="rId8" w:type="default"/>
          <w:pgSz w:w="11906" w:h="16838"/>
          <w:pgMar w:top="1440" w:right="1080" w:bottom="1440" w:left="1080" w:header="851" w:footer="992" w:gutter="0"/>
          <w:pgNumType w:fmt="decimal" w:start="1"/>
          <w:cols w:space="425" w:num="1"/>
          <w:docGrid w:type="lines" w:linePitch="312" w:charSpace="0"/>
        </w:sectPr>
      </w:pPr>
    </w:p>
    <w:p w14:paraId="7ED036EE">
      <w:pPr>
        <w:pStyle w:val="3"/>
        <w:bidi w:val="0"/>
        <w:rPr>
          <w:rFonts w:hint="eastAsia"/>
          <w:lang w:val="en-US" w:eastAsia="zh-CN"/>
        </w:rPr>
      </w:pPr>
      <w:bookmarkStart w:id="20" w:name="_Toc21281"/>
      <w:r>
        <w:rPr>
          <w:rFonts w:hint="eastAsia"/>
          <w:lang w:val="en-US" w:eastAsia="zh-CN"/>
        </w:rPr>
        <w:t>（一）课程结构图</w:t>
      </w:r>
      <w:bookmarkEnd w:id="20"/>
    </w:p>
    <w:p w14:paraId="7B912B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default" w:ascii="仿宋_GB2312" w:hAnsi="仿宋_GB2312" w:eastAsia="仿宋_GB2312" w:cs="仿宋_GB2312"/>
          <w:b/>
          <w:bCs/>
          <w:color w:val="auto"/>
          <w:spacing w:val="5"/>
          <w:kern w:val="2"/>
          <w:sz w:val="30"/>
          <w:szCs w:val="30"/>
          <w:lang w:val="en-US" w:eastAsia="zh-CN" w:bidi="ar-SA"/>
        </w:rPr>
      </w:pPr>
      <w:bookmarkStart w:id="41" w:name="_GoBack"/>
      <w:r>
        <w:rPr>
          <w:rFonts w:hint="default" w:ascii="仿宋_GB2312" w:hAnsi="仿宋_GB2312" w:eastAsia="仿宋_GB2312" w:cs="仿宋_GB2312"/>
          <w:b/>
          <w:bCs/>
          <w:color w:val="auto"/>
          <w:spacing w:val="5"/>
          <w:kern w:val="2"/>
          <w:sz w:val="30"/>
          <w:szCs w:val="30"/>
          <w:lang w:val="en-US" w:eastAsia="zh-CN" w:bidi="ar-SA"/>
        </w:rPr>
        <w:drawing>
          <wp:inline distT="0" distB="0" distL="114300" distR="114300">
            <wp:extent cx="5931535" cy="8225790"/>
            <wp:effectExtent l="0" t="0" r="12065" b="3810"/>
            <wp:docPr id="2" name="图片 2" descr="8b5edfbe43ce7af84785444f79066f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8b5edfbe43ce7af84785444f79066f80"/>
                    <pic:cNvPicPr>
                      <a:picLocks noChangeAspect="1"/>
                    </pic:cNvPicPr>
                  </pic:nvPicPr>
                  <pic:blipFill>
                    <a:blip r:embed="rId11"/>
                    <a:stretch>
                      <a:fillRect/>
                    </a:stretch>
                  </pic:blipFill>
                  <pic:spPr>
                    <a:xfrm>
                      <a:off x="0" y="0"/>
                      <a:ext cx="5931535" cy="8225790"/>
                    </a:xfrm>
                    <a:prstGeom prst="rect">
                      <a:avLst/>
                    </a:prstGeom>
                  </pic:spPr>
                </pic:pic>
              </a:graphicData>
            </a:graphic>
          </wp:inline>
        </w:drawing>
      </w:r>
      <w:bookmarkEnd w:id="41"/>
    </w:p>
    <w:p w14:paraId="73723F1F">
      <w:pPr>
        <w:keepNext w:val="0"/>
        <w:keepLines w:val="0"/>
        <w:pageBreakBefore w:val="0"/>
        <w:numPr>
          <w:ilvl w:val="0"/>
          <w:numId w:val="0"/>
        </w:numPr>
        <w:wordWrap/>
        <w:overflowPunct/>
        <w:topLinePunct w:val="0"/>
        <w:bidi w:val="0"/>
        <w:spacing w:line="240" w:lineRule="auto"/>
        <w:ind w:left="0" w:leftChars="0" w:firstLine="622" w:firstLineChars="200"/>
        <w:jc w:val="center"/>
        <w:outlineLvl w:val="0"/>
        <w:rPr>
          <w:rFonts w:hint="default" w:ascii="仿宋_GB2312" w:hAnsi="仿宋_GB2312" w:eastAsia="仿宋_GB2312" w:cs="仿宋_GB2312"/>
          <w:b/>
          <w:bCs/>
          <w:color w:val="auto"/>
          <w:spacing w:val="5"/>
          <w:kern w:val="2"/>
          <w:sz w:val="30"/>
          <w:szCs w:val="30"/>
          <w:lang w:val="en-US" w:eastAsia="zh-CN" w:bidi="ar-SA"/>
        </w:rPr>
        <w:sectPr>
          <w:pgSz w:w="11906" w:h="16838"/>
          <w:pgMar w:top="1440" w:right="1080" w:bottom="1440" w:left="1080" w:header="851" w:footer="992" w:gutter="0"/>
          <w:pgNumType w:fmt="decimal" w:start="1"/>
          <w:cols w:space="425" w:num="1"/>
          <w:docGrid w:type="lines" w:linePitch="312" w:charSpace="0"/>
        </w:sectPr>
      </w:pPr>
    </w:p>
    <w:p w14:paraId="61A9C07A">
      <w:pPr>
        <w:pStyle w:val="3"/>
        <w:bidi w:val="0"/>
        <w:rPr>
          <w:rFonts w:hint="eastAsia"/>
        </w:rPr>
      </w:pPr>
      <w:bookmarkStart w:id="21" w:name="_Toc9491"/>
      <w:r>
        <w:rPr>
          <w:rFonts w:hint="eastAsia"/>
          <w:lang w:val="en-US" w:eastAsia="zh-CN"/>
        </w:rPr>
        <w:t>（二）</w:t>
      </w:r>
      <w:r>
        <w:rPr>
          <w:rFonts w:hint="eastAsia"/>
        </w:rPr>
        <w:t>公共基础课设置及要求</w:t>
      </w:r>
      <w:bookmarkEnd w:id="21"/>
    </w:p>
    <w:p w14:paraId="757DBF5B">
      <w:pPr>
        <w:bidi w:val="0"/>
        <w:rPr>
          <w:rFonts w:hint="eastAsia"/>
          <w:lang w:val="en-US" w:eastAsia="zh-CN"/>
        </w:rPr>
      </w:pPr>
      <w:r>
        <w:rPr>
          <w:rFonts w:hint="eastAsia"/>
          <w:lang w:val="en-US" w:eastAsia="zh-CN"/>
        </w:rPr>
        <w:t>公共基础课程分为必修课程和选修课程，包括思想政治、语文、历史、数学、外语、信息技术、体育与健康、艺术、劳动教育，以及其他自然科学和人文科学类基础课。主要教学内容和要求依据中等职业学校各门公共基础课的教学标准开设。</w:t>
      </w:r>
    </w:p>
    <w:p w14:paraId="27A0E264">
      <w:pPr>
        <w:keepNext w:val="0"/>
        <w:keepLines w:val="0"/>
        <w:pageBreakBefore w:val="0"/>
        <w:widowControl w:val="0"/>
        <w:kinsoku/>
        <w:wordWrap/>
        <w:overflowPunct/>
        <w:topLinePunct w:val="0"/>
        <w:autoSpaceDE/>
        <w:autoSpaceDN/>
        <w:bidi w:val="0"/>
        <w:adjustRightInd/>
        <w:snapToGrid/>
        <w:spacing w:line="540" w:lineRule="exact"/>
        <w:ind w:left="0" w:firstLine="3900" w:firstLineChars="1300"/>
        <w:jc w:val="left"/>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公共基础课程一览表</w:t>
      </w:r>
    </w:p>
    <w:tbl>
      <w:tblPr>
        <w:tblStyle w:val="16"/>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42"/>
        <w:gridCol w:w="1539"/>
        <w:gridCol w:w="6549"/>
        <w:gridCol w:w="1120"/>
      </w:tblGrid>
      <w:tr w14:paraId="31C6E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blHeader/>
          <w:jc w:val="center"/>
        </w:trPr>
        <w:tc>
          <w:tcPr>
            <w:tcW w:w="278" w:type="pct"/>
            <w:noWrap w:val="0"/>
            <w:vAlign w:val="center"/>
          </w:tcPr>
          <w:p w14:paraId="1F4ACCA9">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bookmarkStart w:id="22" w:name="OLE_LINK1"/>
            <w:r>
              <w:rPr>
                <w:rFonts w:hint="eastAsia" w:ascii="仿宋_GB2312" w:hAnsi="仿宋_GB2312" w:eastAsia="仿宋_GB2312" w:cs="仿宋_GB2312"/>
                <w:color w:val="auto"/>
                <w:spacing w:val="-2"/>
                <w:sz w:val="24"/>
                <w:szCs w:val="24"/>
                <w:lang w:val="en-US" w:eastAsia="zh-CN"/>
              </w:rPr>
              <w:t>序号</w:t>
            </w:r>
          </w:p>
        </w:tc>
        <w:tc>
          <w:tcPr>
            <w:tcW w:w="789" w:type="pct"/>
            <w:noWrap w:val="0"/>
            <w:vAlign w:val="center"/>
          </w:tcPr>
          <w:p w14:paraId="477B03F2">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2"/>
                <w:sz w:val="24"/>
                <w:szCs w:val="24"/>
              </w:rPr>
              <w:t>课程名称</w:t>
            </w:r>
          </w:p>
        </w:tc>
        <w:tc>
          <w:tcPr>
            <w:tcW w:w="3357" w:type="pct"/>
            <w:noWrap w:val="0"/>
            <w:vAlign w:val="center"/>
          </w:tcPr>
          <w:p w14:paraId="78517FFD">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1"/>
                <w:sz w:val="24"/>
                <w:szCs w:val="24"/>
              </w:rPr>
            </w:pPr>
            <w:r>
              <w:rPr>
                <w:rFonts w:hint="eastAsia" w:ascii="仿宋_GB2312" w:hAnsi="仿宋_GB2312" w:eastAsia="仿宋_GB2312" w:cs="仿宋_GB2312"/>
                <w:color w:val="auto"/>
                <w:spacing w:val="-2"/>
                <w:sz w:val="24"/>
                <w:szCs w:val="24"/>
              </w:rPr>
              <w:t>主要教学内容和要求</w:t>
            </w:r>
          </w:p>
        </w:tc>
        <w:tc>
          <w:tcPr>
            <w:tcW w:w="574" w:type="pct"/>
            <w:noWrap w:val="0"/>
            <w:vAlign w:val="center"/>
          </w:tcPr>
          <w:p w14:paraId="1E1F40B3">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计划学时</w:t>
            </w:r>
          </w:p>
        </w:tc>
      </w:tr>
      <w:tr w14:paraId="5D6CE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0" w:hRule="atLeast"/>
          <w:tblHeader/>
          <w:jc w:val="center"/>
        </w:trPr>
        <w:tc>
          <w:tcPr>
            <w:tcW w:w="278" w:type="pct"/>
            <w:noWrap w:val="0"/>
            <w:vAlign w:val="center"/>
          </w:tcPr>
          <w:p w14:paraId="0B234292">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1</w:t>
            </w:r>
          </w:p>
        </w:tc>
        <w:tc>
          <w:tcPr>
            <w:tcW w:w="789" w:type="pct"/>
            <w:noWrap w:val="0"/>
            <w:vAlign w:val="center"/>
          </w:tcPr>
          <w:p w14:paraId="44DC6CF4">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7"/>
                <w:sz w:val="24"/>
                <w:szCs w:val="24"/>
              </w:rPr>
              <w:t>中国特色社会</w:t>
            </w:r>
            <w:r>
              <w:rPr>
                <w:rFonts w:hint="eastAsia" w:ascii="仿宋_GB2312" w:hAnsi="仿宋_GB2312" w:eastAsia="仿宋_GB2312" w:cs="仿宋_GB2312"/>
                <w:color w:val="auto"/>
                <w:spacing w:val="-5"/>
                <w:sz w:val="24"/>
                <w:szCs w:val="24"/>
              </w:rPr>
              <w:t>主义</w:t>
            </w:r>
          </w:p>
        </w:tc>
        <w:tc>
          <w:tcPr>
            <w:tcW w:w="3357" w:type="pct"/>
            <w:noWrap w:val="0"/>
            <w:vAlign w:val="top"/>
          </w:tcPr>
          <w:p w14:paraId="20596BB8">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以习近平新时代中国特色社会主义思想为指导，阐释中国特色社会主义的开创与发展，明确中国特色社会主义进入新时代的历史方位，阐明中国特色社会主义建设“五位一体”总体布局的基本内容，引导学生树立对马克思 主义的信仰、对中国特色社会主义的信念、对中华民族伟大复兴中国梦的信心，坚定中国特色社会主义道路自信、理论自信、制度自信、文化自信，把爱国情、强国志、报国行自觉融入坚持和发展中国特色社会主义事业、建设社会主义现代化强国、实现中华民族伟大复兴的奋斗之中。</w:t>
            </w:r>
          </w:p>
        </w:tc>
        <w:tc>
          <w:tcPr>
            <w:tcW w:w="574" w:type="pct"/>
            <w:noWrap w:val="0"/>
            <w:vAlign w:val="center"/>
          </w:tcPr>
          <w:p w14:paraId="5A969FBC">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36</w:t>
            </w:r>
          </w:p>
        </w:tc>
      </w:tr>
      <w:tr w14:paraId="6E7FDF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6" w:hRule="atLeast"/>
          <w:tblHeader/>
          <w:jc w:val="center"/>
        </w:trPr>
        <w:tc>
          <w:tcPr>
            <w:tcW w:w="278" w:type="pct"/>
            <w:noWrap w:val="0"/>
            <w:vAlign w:val="center"/>
          </w:tcPr>
          <w:p w14:paraId="6104320B">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lang w:val="en-US" w:eastAsia="zh-CN"/>
              </w:rPr>
            </w:pPr>
            <w:r>
              <w:rPr>
                <w:rFonts w:hint="eastAsia" w:ascii="仿宋_GB2312" w:hAnsi="仿宋_GB2312" w:eastAsia="仿宋_GB2312" w:cs="仿宋_GB2312"/>
                <w:color w:val="auto"/>
                <w:spacing w:val="-3"/>
                <w:sz w:val="24"/>
                <w:szCs w:val="24"/>
                <w:lang w:val="en-US" w:eastAsia="zh-CN"/>
              </w:rPr>
              <w:t>2</w:t>
            </w:r>
          </w:p>
        </w:tc>
        <w:tc>
          <w:tcPr>
            <w:tcW w:w="789" w:type="pct"/>
            <w:noWrap w:val="0"/>
            <w:vAlign w:val="center"/>
          </w:tcPr>
          <w:p w14:paraId="37B1FD03">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3"/>
                <w:sz w:val="24"/>
                <w:szCs w:val="24"/>
              </w:rPr>
              <w:t>心理健康与职</w:t>
            </w:r>
            <w:r>
              <w:rPr>
                <w:rFonts w:hint="eastAsia" w:ascii="仿宋_GB2312" w:hAnsi="仿宋_GB2312" w:eastAsia="仿宋_GB2312" w:cs="仿宋_GB2312"/>
                <w:color w:val="auto"/>
                <w:spacing w:val="-5"/>
                <w:sz w:val="24"/>
                <w:szCs w:val="24"/>
              </w:rPr>
              <w:t>业生涯</w:t>
            </w:r>
          </w:p>
        </w:tc>
        <w:tc>
          <w:tcPr>
            <w:tcW w:w="3357" w:type="pct"/>
            <w:noWrap w:val="0"/>
            <w:vAlign w:val="top"/>
          </w:tcPr>
          <w:p w14:paraId="7332B17B">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基于社会发展对中职学生心理素质、职业生涯发展提出的新要求以及心理和谐、职业成才的培养目标，阐释心理健康知识，引导学生树立心理健康意识，掌握心理调适和职业生涯规划的方法，帮助学生正确处理生活、学习、成长和求职就业中遇到的问题，培育自立自强、敬业乐群的心理品质和自尊自信、理性平和、积极向上的良好心态，根据社会发展需要和学生心理特点进行职业生涯指导，为职业生涯发展奠定基础。</w:t>
            </w:r>
          </w:p>
        </w:tc>
        <w:tc>
          <w:tcPr>
            <w:tcW w:w="574" w:type="pct"/>
            <w:noWrap w:val="0"/>
            <w:vAlign w:val="center"/>
          </w:tcPr>
          <w:p w14:paraId="24CA4E9F">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1"/>
                <w:sz w:val="24"/>
                <w:szCs w:val="24"/>
              </w:rPr>
            </w:pPr>
            <w:r>
              <w:rPr>
                <w:rFonts w:hint="eastAsia" w:ascii="仿宋_GB2312" w:hAnsi="仿宋_GB2312" w:eastAsia="仿宋_GB2312" w:cs="仿宋_GB2312"/>
                <w:color w:val="auto"/>
                <w:spacing w:val="-1"/>
                <w:sz w:val="24"/>
                <w:szCs w:val="24"/>
                <w:lang w:val="en-US" w:eastAsia="zh-CN"/>
              </w:rPr>
              <w:t>36</w:t>
            </w:r>
          </w:p>
        </w:tc>
      </w:tr>
      <w:tr w14:paraId="7B860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1" w:hRule="atLeast"/>
          <w:tblHeader/>
          <w:jc w:val="center"/>
        </w:trPr>
        <w:tc>
          <w:tcPr>
            <w:tcW w:w="278" w:type="pct"/>
            <w:noWrap w:val="0"/>
            <w:vAlign w:val="center"/>
          </w:tcPr>
          <w:p w14:paraId="293A41E6">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lang w:val="en-US" w:eastAsia="zh-CN"/>
              </w:rPr>
            </w:pPr>
            <w:r>
              <w:rPr>
                <w:rFonts w:hint="eastAsia" w:ascii="仿宋_GB2312" w:hAnsi="仿宋_GB2312" w:eastAsia="仿宋_GB2312" w:cs="仿宋_GB2312"/>
                <w:color w:val="auto"/>
                <w:spacing w:val="-3"/>
                <w:sz w:val="24"/>
                <w:szCs w:val="24"/>
                <w:lang w:val="en-US" w:eastAsia="zh-CN"/>
              </w:rPr>
              <w:t>3</w:t>
            </w:r>
          </w:p>
        </w:tc>
        <w:tc>
          <w:tcPr>
            <w:tcW w:w="789" w:type="pct"/>
            <w:noWrap w:val="0"/>
            <w:vAlign w:val="center"/>
          </w:tcPr>
          <w:p w14:paraId="2CC0259C">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3"/>
                <w:sz w:val="24"/>
                <w:szCs w:val="24"/>
              </w:rPr>
              <w:t>哲学与人生</w:t>
            </w:r>
          </w:p>
        </w:tc>
        <w:tc>
          <w:tcPr>
            <w:tcW w:w="3357" w:type="pct"/>
            <w:noWrap w:val="0"/>
            <w:vAlign w:val="top"/>
          </w:tcPr>
          <w:p w14:paraId="092F92CC">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阐明马克思主义哲学是科学的世界观和方法论，讲述辩证唯物主义和历史唯物主义基本观点及其对人生成长的意义；阐述社会生活及个人成长中进行正确价值判断和行为选择的意义；引导学生弘扬和践行社会主义核心价值观，为学生成长奠定正确的世界观、人生观和价值观基础。</w:t>
            </w:r>
          </w:p>
        </w:tc>
        <w:tc>
          <w:tcPr>
            <w:tcW w:w="574" w:type="pct"/>
            <w:noWrap w:val="0"/>
            <w:vAlign w:val="center"/>
          </w:tcPr>
          <w:p w14:paraId="5AF7EFA3">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1"/>
                <w:sz w:val="24"/>
                <w:szCs w:val="24"/>
              </w:rPr>
            </w:pPr>
            <w:r>
              <w:rPr>
                <w:rFonts w:hint="eastAsia" w:ascii="仿宋_GB2312" w:hAnsi="仿宋_GB2312" w:eastAsia="仿宋_GB2312" w:cs="仿宋_GB2312"/>
                <w:color w:val="auto"/>
                <w:spacing w:val="-1"/>
                <w:sz w:val="24"/>
                <w:szCs w:val="24"/>
                <w:lang w:val="en-US" w:eastAsia="zh-CN"/>
              </w:rPr>
              <w:t>36</w:t>
            </w:r>
          </w:p>
        </w:tc>
      </w:tr>
      <w:tr w14:paraId="16479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8" w:hRule="atLeast"/>
          <w:tblHeader/>
          <w:jc w:val="center"/>
        </w:trPr>
        <w:tc>
          <w:tcPr>
            <w:tcW w:w="278" w:type="pct"/>
            <w:noWrap w:val="0"/>
            <w:vAlign w:val="center"/>
          </w:tcPr>
          <w:p w14:paraId="67907E64">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4</w:t>
            </w:r>
          </w:p>
        </w:tc>
        <w:tc>
          <w:tcPr>
            <w:tcW w:w="789" w:type="pct"/>
            <w:noWrap w:val="0"/>
            <w:vAlign w:val="center"/>
          </w:tcPr>
          <w:p w14:paraId="35003015">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5"/>
                <w:sz w:val="24"/>
                <w:szCs w:val="24"/>
              </w:rPr>
              <w:t>职业</w:t>
            </w:r>
            <w:r>
              <w:rPr>
                <w:rFonts w:hint="eastAsia" w:ascii="仿宋_GB2312" w:hAnsi="仿宋_GB2312" w:eastAsia="仿宋_GB2312" w:cs="仿宋_GB2312"/>
                <w:color w:val="auto"/>
                <w:spacing w:val="-5"/>
                <w:sz w:val="24"/>
                <w:szCs w:val="24"/>
                <w:lang w:val="en-US" w:eastAsia="zh-CN"/>
              </w:rPr>
              <w:t>道</w:t>
            </w:r>
            <w:r>
              <w:rPr>
                <w:rFonts w:hint="eastAsia" w:ascii="仿宋_GB2312" w:hAnsi="仿宋_GB2312" w:eastAsia="仿宋_GB2312" w:cs="仿宋_GB2312"/>
                <w:color w:val="auto"/>
                <w:spacing w:val="-5"/>
                <w:sz w:val="24"/>
                <w:szCs w:val="24"/>
              </w:rPr>
              <w:t>德</w:t>
            </w:r>
            <w:r>
              <w:rPr>
                <w:rFonts w:hint="eastAsia" w:ascii="仿宋_GB2312" w:hAnsi="仿宋_GB2312" w:eastAsia="仿宋_GB2312" w:cs="仿宋_GB2312"/>
                <w:color w:val="auto"/>
                <w:spacing w:val="-6"/>
                <w:sz w:val="24"/>
                <w:szCs w:val="24"/>
              </w:rPr>
              <w:t>与法治</w:t>
            </w:r>
          </w:p>
        </w:tc>
        <w:tc>
          <w:tcPr>
            <w:tcW w:w="3357" w:type="pct"/>
            <w:noWrap w:val="0"/>
            <w:vAlign w:val="top"/>
          </w:tcPr>
          <w:p w14:paraId="62DF65D4">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依据《中等职业学校思政课课程标准》开设，着眼于提高中职学生的职业道德素质和法治素养，对学生进行职业道德和法治教</w:t>
            </w:r>
            <w:r>
              <w:rPr>
                <w:rFonts w:hint="eastAsia" w:ascii="仿宋_GB2312" w:hAnsi="仿宋_GB2312" w:eastAsia="仿宋_GB2312" w:cs="仿宋_GB2312"/>
                <w:color w:val="auto"/>
                <w:spacing w:val="-7"/>
                <w:sz w:val="24"/>
                <w:szCs w:val="24"/>
                <w:lang w:val="en-US" w:eastAsia="zh-CN"/>
              </w:rPr>
              <w:t>育。</w:t>
            </w:r>
            <w:r>
              <w:rPr>
                <w:rFonts w:hint="eastAsia" w:ascii="仿宋_GB2312" w:hAnsi="仿宋_GB2312" w:eastAsia="仿宋_GB2312" w:cs="仿宋_GB2312"/>
                <w:color w:val="auto"/>
                <w:spacing w:val="-7"/>
                <w:sz w:val="24"/>
                <w:szCs w:val="24"/>
                <w:lang w:eastAsia="zh-CN"/>
              </w:rPr>
              <w:t>帮助学生理解全面依法治国的总目标和基本要求，了解职业道德和法律规范，增强职业道德和法治意识，养成爱岗敬业、依法办事的思维方式和行为习惯。</w:t>
            </w:r>
          </w:p>
        </w:tc>
        <w:tc>
          <w:tcPr>
            <w:tcW w:w="574" w:type="pct"/>
            <w:noWrap w:val="0"/>
            <w:vAlign w:val="center"/>
          </w:tcPr>
          <w:p w14:paraId="107DEAA1">
            <w:pPr>
              <w:pStyle w:val="15"/>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1"/>
                <w:sz w:val="24"/>
                <w:szCs w:val="24"/>
              </w:rPr>
            </w:pPr>
            <w:r>
              <w:rPr>
                <w:rFonts w:hint="eastAsia" w:ascii="仿宋_GB2312" w:hAnsi="仿宋_GB2312" w:eastAsia="仿宋_GB2312" w:cs="仿宋_GB2312"/>
                <w:color w:val="auto"/>
                <w:spacing w:val="-1"/>
                <w:sz w:val="24"/>
                <w:szCs w:val="24"/>
                <w:lang w:val="en-US" w:eastAsia="zh-CN"/>
              </w:rPr>
              <w:t>36</w:t>
            </w:r>
          </w:p>
        </w:tc>
      </w:tr>
      <w:tr w14:paraId="20E1E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F6FFFAC">
            <w:pPr>
              <w:pStyle w:val="15"/>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6"/>
                <w:sz w:val="24"/>
                <w:szCs w:val="24"/>
                <w:lang w:val="en-US" w:eastAsia="zh-CN"/>
              </w:rPr>
            </w:pPr>
            <w:r>
              <w:rPr>
                <w:rFonts w:hint="eastAsia" w:ascii="仿宋_GB2312" w:hAnsi="仿宋_GB2312" w:eastAsia="仿宋_GB2312" w:cs="仿宋_GB2312"/>
                <w:color w:val="auto"/>
                <w:spacing w:val="-6"/>
                <w:sz w:val="24"/>
                <w:szCs w:val="24"/>
                <w:lang w:val="en-US" w:eastAsia="zh-CN"/>
              </w:rPr>
              <w:t>5</w:t>
            </w:r>
          </w:p>
        </w:tc>
        <w:tc>
          <w:tcPr>
            <w:tcW w:w="789" w:type="pct"/>
            <w:noWrap w:val="0"/>
            <w:vAlign w:val="center"/>
          </w:tcPr>
          <w:p w14:paraId="17EE00BD">
            <w:pPr>
              <w:pStyle w:val="15"/>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6"/>
                <w:sz w:val="24"/>
                <w:szCs w:val="24"/>
              </w:rPr>
            </w:pPr>
            <w:r>
              <w:rPr>
                <w:rFonts w:hint="eastAsia" w:ascii="仿宋_GB2312" w:hAnsi="仿宋_GB2312" w:eastAsia="仿宋_GB2312" w:cs="仿宋_GB2312"/>
                <w:color w:val="auto"/>
                <w:spacing w:val="-6"/>
                <w:sz w:val="24"/>
                <w:szCs w:val="24"/>
              </w:rPr>
              <w:t>习近平新时代中国特色社会主义思想学生读本</w:t>
            </w:r>
          </w:p>
        </w:tc>
        <w:tc>
          <w:tcPr>
            <w:tcW w:w="3357" w:type="pct"/>
            <w:noWrap w:val="0"/>
            <w:vAlign w:val="top"/>
          </w:tcPr>
          <w:p w14:paraId="4CC5DFF8">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习近平新时代中国特色社会主义思想学生读本：围绕习近平新时代中国特色社会主义思想核心内容，按照从具体到抽象、从感性体悟到理性认识的认知规律，让学生通过学习不断深化对习近平新时代中国特色社会主义思想的系统认识，逐步形成对拥护党的领导和社会主义制度、坚持和发展中国特色社会主义的认同、自信和自觉。</w:t>
            </w:r>
          </w:p>
        </w:tc>
        <w:tc>
          <w:tcPr>
            <w:tcW w:w="574" w:type="pct"/>
            <w:noWrap w:val="0"/>
            <w:vAlign w:val="center"/>
          </w:tcPr>
          <w:p w14:paraId="22371CBC">
            <w:pPr>
              <w:pStyle w:val="15"/>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20</w:t>
            </w:r>
          </w:p>
        </w:tc>
      </w:tr>
      <w:tr w14:paraId="18324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B6F8877">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6</w:t>
            </w:r>
          </w:p>
        </w:tc>
        <w:tc>
          <w:tcPr>
            <w:tcW w:w="789" w:type="pct"/>
            <w:noWrap w:val="0"/>
            <w:vAlign w:val="center"/>
          </w:tcPr>
          <w:p w14:paraId="1105F0D8">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sz w:val="24"/>
                <w:szCs w:val="24"/>
              </w:rPr>
            </w:pPr>
            <w:r>
              <w:rPr>
                <w:rFonts w:hint="eastAsia" w:ascii="仿宋_GB2312" w:hAnsi="仿宋_GB2312" w:eastAsia="仿宋_GB2312" w:cs="仿宋_GB2312"/>
                <w:color w:val="auto"/>
                <w:spacing w:val="-2"/>
                <w:sz w:val="24"/>
                <w:szCs w:val="24"/>
              </w:rPr>
              <w:t>语文</w:t>
            </w:r>
          </w:p>
        </w:tc>
        <w:tc>
          <w:tcPr>
            <w:tcW w:w="3357" w:type="pct"/>
            <w:noWrap w:val="0"/>
            <w:vAlign w:val="top"/>
          </w:tcPr>
          <w:p w14:paraId="7C07C9F9">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依据《中等职业学校语文课程标准》开设，对学生进行阅读与欣赏、表达与交流的教学以及语文综合实践活动的开展，使学生掌握必需的语文基础知识，并注重培养学生日常生 活和职业岗位需要的现代文阅读能力、写作能力、口语交际能力，掌握具有初步的文学作品欣赏能力和浅易文言文阅读能力，使学生掌握基本的语文学习方法，养成自学和运用语文的良好习惯，引导学生重视语言的积累和感悟，接受优秀文化的熏陶，提高思想品德修养和审美情趣，提高科学文化素养，以适应就业和创业的需要，形成良好的个性、健全的人格，促进职业生涯的发展。第五学期课程内容是针对升学模式而设定。</w:t>
            </w:r>
          </w:p>
          <w:p w14:paraId="5CB9DBF8">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包含三个模块：基础模块（144学时）、职业模块（54学时）、拓展模块（36学时）</w:t>
            </w:r>
          </w:p>
        </w:tc>
        <w:tc>
          <w:tcPr>
            <w:tcW w:w="574" w:type="pct"/>
            <w:noWrap w:val="0"/>
            <w:vAlign w:val="center"/>
          </w:tcPr>
          <w:p w14:paraId="781BD8C2">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234</w:t>
            </w:r>
          </w:p>
        </w:tc>
      </w:tr>
      <w:tr w14:paraId="1F024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E6ECF22">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7</w:t>
            </w:r>
          </w:p>
        </w:tc>
        <w:tc>
          <w:tcPr>
            <w:tcW w:w="789" w:type="pct"/>
            <w:noWrap w:val="0"/>
            <w:vAlign w:val="center"/>
          </w:tcPr>
          <w:p w14:paraId="1AEDA8C7">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2"/>
                <w:sz w:val="24"/>
                <w:szCs w:val="24"/>
                <w:lang w:val="en-US" w:eastAsia="zh-CN"/>
              </w:rPr>
            </w:pPr>
            <w:r>
              <w:rPr>
                <w:rFonts w:hint="eastAsia" w:ascii="仿宋_GB2312" w:hAnsi="仿宋_GB2312" w:eastAsia="仿宋_GB2312" w:cs="仿宋_GB2312"/>
                <w:color w:val="auto"/>
                <w:spacing w:val="-2"/>
                <w:sz w:val="24"/>
                <w:szCs w:val="24"/>
                <w:lang w:val="en-US" w:eastAsia="zh-CN"/>
              </w:rPr>
              <w:t>历史</w:t>
            </w:r>
          </w:p>
        </w:tc>
        <w:tc>
          <w:tcPr>
            <w:tcW w:w="3357" w:type="pct"/>
            <w:noWrap w:val="0"/>
            <w:vAlign w:val="top"/>
          </w:tcPr>
          <w:p w14:paraId="3EC1012C">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历史课程标准》开设，学生能够了解中国历史的基本知识，认识中国历史发展的总体趋势，对人类历史的延续与发展产生认知兴趣，感悟中华文明的历史价值和现实意义，形成爱国主义情感,开拓观察世界的视野，为形成正确的世界观、人生观和价值观，树立科学发展观，成为具有综合素质的合格公民奠定基础。</w:t>
            </w:r>
          </w:p>
          <w:p w14:paraId="351B5B3D">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包含两个模块：基础模块（72学时——中国历史54学时、世界历史27学时）、拓展模块（职业教育与社会发展专题、历史上的著名工匠专题，18学时）</w:t>
            </w:r>
          </w:p>
        </w:tc>
        <w:tc>
          <w:tcPr>
            <w:tcW w:w="574" w:type="pct"/>
            <w:noWrap w:val="0"/>
            <w:vAlign w:val="center"/>
          </w:tcPr>
          <w:p w14:paraId="71632C46">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90</w:t>
            </w:r>
          </w:p>
        </w:tc>
      </w:tr>
      <w:tr w14:paraId="3C1E5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E4A9FF6">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8</w:t>
            </w:r>
          </w:p>
        </w:tc>
        <w:tc>
          <w:tcPr>
            <w:tcW w:w="789" w:type="pct"/>
            <w:noWrap w:val="0"/>
            <w:vAlign w:val="center"/>
          </w:tcPr>
          <w:p w14:paraId="66BC5595">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5"/>
                <w:sz w:val="24"/>
                <w:szCs w:val="24"/>
              </w:rPr>
              <w:t>英语</w:t>
            </w:r>
          </w:p>
        </w:tc>
        <w:tc>
          <w:tcPr>
            <w:tcW w:w="3357" w:type="pct"/>
            <w:noWrap w:val="0"/>
            <w:vAlign w:val="top"/>
          </w:tcPr>
          <w:p w14:paraId="03F10F55">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依据《中等职业学校英语课程标准》开设，对学生进行听、说、读、写、语音、词汇、语法的教学，帮助学生进一步学习英语基 础知识，培养听、说、读、写等语言技能，初步形成职场英语的应用能力，激发和培养学生学习英语的兴趣，提高学生学习的自信心，帮助学生掌握学习策略，养成良好的学习习惯，提高自主学习能力，引导学生了解、认识中西方文化差异，培养正确的情感、态度和价值观。第五学期课程内容是针对升学模式而设定。</w:t>
            </w:r>
          </w:p>
          <w:p w14:paraId="24EE715F">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eastAsia="zh-CN"/>
              </w:rPr>
              <w:t>包含三个模块：基础模块（108学时）、职业模块（36学时）、拓展模块（36学时）</w:t>
            </w:r>
          </w:p>
        </w:tc>
        <w:tc>
          <w:tcPr>
            <w:tcW w:w="574" w:type="pct"/>
            <w:noWrap w:val="0"/>
            <w:vAlign w:val="center"/>
          </w:tcPr>
          <w:p w14:paraId="306C883C">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180</w:t>
            </w:r>
          </w:p>
        </w:tc>
      </w:tr>
      <w:tr w14:paraId="119E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4C7242DF">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4"/>
                <w:sz w:val="24"/>
                <w:szCs w:val="24"/>
                <w:lang w:val="en-US" w:eastAsia="zh-CN"/>
              </w:rPr>
            </w:pPr>
            <w:r>
              <w:rPr>
                <w:rFonts w:hint="eastAsia" w:ascii="仿宋_GB2312" w:hAnsi="仿宋_GB2312" w:eastAsia="仿宋_GB2312" w:cs="仿宋_GB2312"/>
                <w:color w:val="auto"/>
                <w:spacing w:val="-4"/>
                <w:sz w:val="24"/>
                <w:szCs w:val="24"/>
                <w:lang w:val="en-US" w:eastAsia="zh-CN"/>
              </w:rPr>
              <w:t>9</w:t>
            </w:r>
          </w:p>
        </w:tc>
        <w:tc>
          <w:tcPr>
            <w:tcW w:w="789" w:type="pct"/>
            <w:noWrap w:val="0"/>
            <w:vAlign w:val="center"/>
          </w:tcPr>
          <w:p w14:paraId="44DBCF29">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4"/>
                <w:sz w:val="24"/>
                <w:szCs w:val="24"/>
              </w:rPr>
              <w:t>数学</w:t>
            </w:r>
          </w:p>
        </w:tc>
        <w:tc>
          <w:tcPr>
            <w:tcW w:w="3357" w:type="pct"/>
            <w:noWrap w:val="0"/>
            <w:vAlign w:val="top"/>
          </w:tcPr>
          <w:p w14:paraId="563E6A92">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依据《中等职业学校数学课程标准》开设，对学生讲授集合、不等式、函数、数列等 内容的教学，使学生掌握必要的数学基础，培养学生的计算技能、计算工具使用技能和数据处理技能，培养学生的观察能力、空间想象能力、分析与解决问题能力和数学思维能力，使学生逐步养成良好的学习习惯、实践意识、创新意识和实事求是的科学态度，提高学生就业能力与创业能力。第五学期课程内容是针对升学模式而设定。</w:t>
            </w:r>
          </w:p>
          <w:p w14:paraId="66FBC680">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val="en-US" w:eastAsia="en-US"/>
              </w:rPr>
              <w:t>包含两个模块：基础模块（108学时）、拓展模块（专题与案例，36学时）</w:t>
            </w:r>
          </w:p>
        </w:tc>
        <w:tc>
          <w:tcPr>
            <w:tcW w:w="574" w:type="pct"/>
            <w:noWrap w:val="0"/>
            <w:vAlign w:val="center"/>
          </w:tcPr>
          <w:p w14:paraId="39F7B332">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firstLine="0" w:firstLineChars="0"/>
              <w:jc w:val="center"/>
              <w:textAlignment w:val="baseline"/>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144</w:t>
            </w:r>
          </w:p>
        </w:tc>
      </w:tr>
      <w:tr w14:paraId="7C555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9827D65">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10</w:t>
            </w:r>
          </w:p>
        </w:tc>
        <w:tc>
          <w:tcPr>
            <w:tcW w:w="789" w:type="pct"/>
            <w:noWrap w:val="0"/>
            <w:vAlign w:val="center"/>
          </w:tcPr>
          <w:p w14:paraId="47BB401F">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3"/>
                <w:kern w:val="2"/>
                <w:sz w:val="24"/>
                <w:szCs w:val="24"/>
                <w:lang w:val="en-US" w:eastAsia="en-US" w:bidi="ar-SA"/>
              </w:rPr>
            </w:pPr>
            <w:r>
              <w:rPr>
                <w:rFonts w:hint="eastAsia" w:ascii="仿宋_GB2312" w:hAnsi="仿宋_GB2312" w:eastAsia="仿宋_GB2312" w:cs="仿宋_GB2312"/>
                <w:color w:val="auto"/>
                <w:spacing w:val="-1"/>
                <w:sz w:val="24"/>
                <w:szCs w:val="24"/>
              </w:rPr>
              <w:t>信息技术</w:t>
            </w:r>
          </w:p>
        </w:tc>
        <w:tc>
          <w:tcPr>
            <w:tcW w:w="3357" w:type="pct"/>
            <w:noWrap w:val="0"/>
            <w:vAlign w:val="top"/>
          </w:tcPr>
          <w:p w14:paraId="7DE6795C">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依据《中等职业学校信息技术课程标准》 开设，对学生进行计算机基础知识、操作系统 的使用、因特网应用、文字处理软件应用、电子表格处理软件应用、多媒体软件应用、演示文稿软件应用的计算机教学，使学生掌握必备 的计算机应用基础知识和基本技能，提高学生计算机基本操作、办公应用、网络应用、多媒体技术应用等方面的技能，培养学生应用计算机解决工作与生活中实际问题的能力，使学生能够根据职业需求运用计算机，体验利用计算 机技术获取信息、处理信息、分析信息、发布 信息的过程。</w:t>
            </w:r>
          </w:p>
          <w:p w14:paraId="0C42DD94">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eastAsia" w:ascii="仿宋_GB2312" w:hAnsi="仿宋_GB2312" w:eastAsia="仿宋_GB2312" w:cs="仿宋_GB2312"/>
                <w:color w:val="auto"/>
                <w:spacing w:val="-7"/>
                <w:sz w:val="24"/>
                <w:szCs w:val="24"/>
                <w:lang w:val="en-US" w:eastAsia="en-US"/>
              </w:rPr>
              <w:t>包含两个模块：基础模块（108学时）、拓展模块（36学时）</w:t>
            </w:r>
          </w:p>
        </w:tc>
        <w:tc>
          <w:tcPr>
            <w:tcW w:w="574" w:type="pct"/>
            <w:noWrap w:val="0"/>
            <w:vAlign w:val="center"/>
          </w:tcPr>
          <w:p w14:paraId="52B9930B">
            <w:pPr>
              <w:pStyle w:val="15"/>
              <w:keepNext w:val="0"/>
              <w:keepLines w:val="0"/>
              <w:pageBreakBefore w:val="0"/>
              <w:widowControl w:val="0"/>
              <w:kinsoku/>
              <w:wordWrap/>
              <w:overflowPunct/>
              <w:topLinePunct w:val="0"/>
              <w:bidi w:val="0"/>
              <w:spacing w:line="560" w:lineRule="exact"/>
              <w:ind w:left="0" w:leftChars="0" w:right="0" w:rightChars="0" w:firstLine="0" w:firstLineChars="0"/>
              <w:jc w:val="center"/>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144</w:t>
            </w:r>
          </w:p>
        </w:tc>
      </w:tr>
      <w:tr w14:paraId="45CC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050294A9">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11</w:t>
            </w:r>
          </w:p>
        </w:tc>
        <w:tc>
          <w:tcPr>
            <w:tcW w:w="789" w:type="pct"/>
            <w:noWrap w:val="0"/>
            <w:vAlign w:val="center"/>
          </w:tcPr>
          <w:p w14:paraId="354006F8">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体育与健康</w:t>
            </w:r>
          </w:p>
        </w:tc>
        <w:tc>
          <w:tcPr>
            <w:tcW w:w="3357" w:type="pct"/>
            <w:noWrap w:val="0"/>
            <w:vAlign w:val="top"/>
          </w:tcPr>
          <w:p w14:paraId="20E60093">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体育与健康课程标准》开设，对学生进行健康教育专题讲座、田径类项目、体操类项目、球类项目教学，使学生掌握体育运动的基本技能和良好的锻炼身体的方法，培养学生的健康人格、增强体能素质、提高综合职业能力，养成终身从事体育锻 炼的意识、能力与习惯，提高生活质量，为全面促进学生身体健康、心理健康和社会适应能力服务。</w:t>
            </w:r>
          </w:p>
          <w:p w14:paraId="6B0919CF">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包含两个模块：基础模块（54学时）、拓展模块（90学时，其中球类45学时、民间传统体育类45学时）</w:t>
            </w:r>
          </w:p>
        </w:tc>
        <w:tc>
          <w:tcPr>
            <w:tcW w:w="574" w:type="pct"/>
            <w:noWrap w:val="0"/>
            <w:vAlign w:val="center"/>
          </w:tcPr>
          <w:p w14:paraId="4D7EEBB5">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144</w:t>
            </w:r>
          </w:p>
        </w:tc>
      </w:tr>
      <w:tr w14:paraId="2244B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1CB1055A">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12</w:t>
            </w:r>
          </w:p>
        </w:tc>
        <w:tc>
          <w:tcPr>
            <w:tcW w:w="789" w:type="pct"/>
            <w:noWrap w:val="0"/>
            <w:vAlign w:val="center"/>
          </w:tcPr>
          <w:p w14:paraId="17B49D8E">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艺术</w:t>
            </w:r>
          </w:p>
        </w:tc>
        <w:tc>
          <w:tcPr>
            <w:tcW w:w="3357" w:type="pct"/>
            <w:noWrap w:val="0"/>
            <w:vAlign w:val="top"/>
          </w:tcPr>
          <w:p w14:paraId="5A05445E">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依据《中等职业学校公共艺术课程标准》开设，以学生普遍具有一定认知基础、喜闻乐 见的音乐和美术作为主要教学内容，使学生了解科学的音乐欣赏体系，欣赏优秀的音乐作品，为美妙的乐声所陶醉，感受着精神境界的升华；丰富音乐素养，提高审美情趣，从而培养高尚的情操和品格。学习不同美术类型（绘 画、书法、雕塑、工艺、摄影等）的表现形式与发展演变进程，使学生了解美术的基础知识、技能与原理，熟悉基本审美特征，理解作品的思想情感与人文内涵，感受社会美、自然美和艺术美的统一，提高审美能力。</w:t>
            </w:r>
          </w:p>
          <w:p w14:paraId="0BD431D0">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包含两个模块：基础模块（音乐欣赏18学时、美术鉴赏18学时）、拓展模块（歌唱18学时、中国传统工艺18学时）</w:t>
            </w:r>
          </w:p>
        </w:tc>
        <w:tc>
          <w:tcPr>
            <w:tcW w:w="574" w:type="pct"/>
            <w:noWrap w:val="0"/>
            <w:vAlign w:val="center"/>
          </w:tcPr>
          <w:p w14:paraId="54FD9082">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72</w:t>
            </w:r>
          </w:p>
        </w:tc>
      </w:tr>
      <w:tr w14:paraId="7ABF2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BF1A47F">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13</w:t>
            </w:r>
          </w:p>
        </w:tc>
        <w:tc>
          <w:tcPr>
            <w:tcW w:w="789" w:type="pct"/>
            <w:noWrap w:val="0"/>
            <w:vAlign w:val="center"/>
          </w:tcPr>
          <w:p w14:paraId="3F3FDB89">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军事训练</w:t>
            </w:r>
          </w:p>
          <w:p w14:paraId="7B97B051">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和国防教育</w:t>
            </w:r>
          </w:p>
        </w:tc>
        <w:tc>
          <w:tcPr>
            <w:tcW w:w="3357" w:type="pct"/>
            <w:noWrap w:val="0"/>
            <w:vAlign w:val="top"/>
          </w:tcPr>
          <w:p w14:paraId="782BCD95">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依据《高级中学学生军事训练教学大纲》开设，该大纲适用于各类中等职业学校。通过接受国防教育、军事训练，掌握基本军事知识和技能，增强国防观念和国家安全意识，强化爱国主 义、集体主义和革命英雄主义观念，加强组织性和纪律性，培养学生的行为习惯和艰苦奋斗的作风、促进学生综合素质的提高。</w:t>
            </w:r>
          </w:p>
        </w:tc>
        <w:tc>
          <w:tcPr>
            <w:tcW w:w="574" w:type="pct"/>
            <w:noWrap w:val="0"/>
            <w:vAlign w:val="center"/>
          </w:tcPr>
          <w:p w14:paraId="3AF523F9">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72</w:t>
            </w:r>
          </w:p>
        </w:tc>
      </w:tr>
      <w:tr w14:paraId="6B73E9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3CAD9B55">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14</w:t>
            </w:r>
          </w:p>
        </w:tc>
        <w:tc>
          <w:tcPr>
            <w:tcW w:w="789" w:type="pct"/>
            <w:noWrap w:val="0"/>
            <w:vAlign w:val="center"/>
          </w:tcPr>
          <w:p w14:paraId="05BB5679">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安全教育</w:t>
            </w:r>
          </w:p>
        </w:tc>
        <w:tc>
          <w:tcPr>
            <w:tcW w:w="3357" w:type="pct"/>
            <w:noWrap w:val="0"/>
            <w:vAlign w:val="top"/>
          </w:tcPr>
          <w:p w14:paraId="2554497B">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通过校园、网络、交通、饮食、消防、突发公共安全事件、日常生活和自然灾害等方面的安全防范知识学习，培养学生的社会安全责任感，使学生形成安全意识，掌握必要的安全行为的知识和技能，了解相关的法律法规常识，养成在日常生活和突发安全事件中正确应对的习惯，牢固树立“珍爱生命，安全第一，遵纪守法，和谐共处”的意识，具备自救自护的素养和能力。</w:t>
            </w:r>
          </w:p>
        </w:tc>
        <w:tc>
          <w:tcPr>
            <w:tcW w:w="574" w:type="pct"/>
            <w:noWrap w:val="0"/>
            <w:vAlign w:val="center"/>
          </w:tcPr>
          <w:p w14:paraId="5FA9C954">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10</w:t>
            </w:r>
          </w:p>
        </w:tc>
      </w:tr>
      <w:tr w14:paraId="1248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22DE5518">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15</w:t>
            </w:r>
          </w:p>
        </w:tc>
        <w:tc>
          <w:tcPr>
            <w:tcW w:w="789" w:type="pct"/>
            <w:noWrap w:val="0"/>
            <w:vAlign w:val="center"/>
          </w:tcPr>
          <w:p w14:paraId="43CC2640">
            <w:pPr>
              <w:pStyle w:val="15"/>
              <w:keepNext w:val="0"/>
              <w:keepLines w:val="0"/>
              <w:pageBreakBefore w:val="0"/>
              <w:widowControl w:val="0"/>
              <w:kinsoku/>
              <w:wordWrap/>
              <w:overflowPunct/>
              <w:topLinePunct w:val="0"/>
              <w:bidi w:val="0"/>
              <w:spacing w:line="560" w:lineRule="exact"/>
              <w:ind w:left="0" w:right="0" w:firstLine="0" w:firstLineChars="0"/>
              <w:jc w:val="center"/>
              <w:rPr>
                <w:rFonts w:hint="eastAsia"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劳动教育</w:t>
            </w:r>
          </w:p>
        </w:tc>
        <w:tc>
          <w:tcPr>
            <w:tcW w:w="3357" w:type="pct"/>
            <w:noWrap w:val="0"/>
            <w:vAlign w:val="top"/>
          </w:tcPr>
          <w:p w14:paraId="3A84DD61">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通过劳动教育、生活劳动、农业种植劳动、生产劳动、志愿者服务劳动等，实践学时不小于总学时 50%，培养学生树立马克思主义劳动观，铸造崇高个人品德，助益学生锻炼劳动技能，促进学生体会劳动创造美好生活，积累劳动经验，培养劳动习惯，培养勤俭、奋斗、创新、奉献的劳动精神，增强学生职业荣誉感，提高职业技能水平，培育学生劳动品质、劳模精神和工匠精神。</w:t>
            </w:r>
          </w:p>
        </w:tc>
        <w:tc>
          <w:tcPr>
            <w:tcW w:w="574" w:type="pct"/>
            <w:noWrap w:val="0"/>
            <w:vAlign w:val="center"/>
          </w:tcPr>
          <w:p w14:paraId="74111CC5">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eastAsia"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16</w:t>
            </w:r>
          </w:p>
        </w:tc>
      </w:tr>
      <w:tr w14:paraId="43D2C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6" w:hRule="atLeast"/>
          <w:tblHeader/>
          <w:jc w:val="center"/>
        </w:trPr>
        <w:tc>
          <w:tcPr>
            <w:tcW w:w="278" w:type="pct"/>
            <w:noWrap w:val="0"/>
            <w:vAlign w:val="center"/>
          </w:tcPr>
          <w:p w14:paraId="712E25CD">
            <w:pPr>
              <w:pStyle w:val="15"/>
              <w:keepNext w:val="0"/>
              <w:keepLines w:val="0"/>
              <w:pageBreakBefore w:val="0"/>
              <w:widowControl w:val="0"/>
              <w:kinsoku/>
              <w:wordWrap/>
              <w:overflowPunct/>
              <w:topLinePunct w:val="0"/>
              <w:bidi w:val="0"/>
              <w:spacing w:line="560" w:lineRule="exact"/>
              <w:ind w:left="0" w:right="0" w:firstLine="0" w:firstLineChars="0"/>
              <w:jc w:val="center"/>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16</w:t>
            </w:r>
          </w:p>
        </w:tc>
        <w:tc>
          <w:tcPr>
            <w:tcW w:w="789" w:type="pct"/>
            <w:noWrap w:val="0"/>
            <w:vAlign w:val="center"/>
          </w:tcPr>
          <w:p w14:paraId="3ADA2739">
            <w:pPr>
              <w:pStyle w:val="15"/>
              <w:keepNext w:val="0"/>
              <w:keepLines w:val="0"/>
              <w:pageBreakBefore w:val="0"/>
              <w:widowControl w:val="0"/>
              <w:kinsoku/>
              <w:wordWrap/>
              <w:overflowPunct/>
              <w:topLinePunct w:val="0"/>
              <w:bidi w:val="0"/>
              <w:spacing w:line="560" w:lineRule="exact"/>
              <w:ind w:left="0" w:right="0" w:firstLine="0" w:firstLineChars="0"/>
              <w:jc w:val="center"/>
              <w:rPr>
                <w:rFonts w:hint="default" w:ascii="仿宋_GB2312" w:hAnsi="仿宋_GB2312" w:eastAsia="仿宋_GB2312" w:cs="仿宋_GB2312"/>
                <w:color w:val="auto"/>
                <w:spacing w:val="-5"/>
                <w:sz w:val="24"/>
                <w:szCs w:val="24"/>
                <w:lang w:val="en-US" w:eastAsia="zh-CN"/>
              </w:rPr>
            </w:pPr>
            <w:r>
              <w:rPr>
                <w:rFonts w:hint="eastAsia" w:ascii="仿宋_GB2312" w:hAnsi="仿宋_GB2312" w:eastAsia="仿宋_GB2312" w:cs="仿宋_GB2312"/>
                <w:color w:val="auto"/>
                <w:spacing w:val="-5"/>
                <w:sz w:val="24"/>
                <w:szCs w:val="24"/>
                <w:lang w:val="en-US" w:eastAsia="zh-CN"/>
              </w:rPr>
              <w:t>人工智能通识教育</w:t>
            </w:r>
          </w:p>
        </w:tc>
        <w:tc>
          <w:tcPr>
            <w:tcW w:w="3357" w:type="pct"/>
            <w:noWrap w:val="0"/>
            <w:vAlign w:val="top"/>
          </w:tcPr>
          <w:p w14:paraId="60B28763">
            <w:pPr>
              <w:pStyle w:val="15"/>
              <w:keepNext w:val="0"/>
              <w:keepLines w:val="0"/>
              <w:pageBreakBefore w:val="0"/>
              <w:widowControl w:val="0"/>
              <w:kinsoku/>
              <w:wordWrap/>
              <w:overflowPunct/>
              <w:topLinePunct w:val="0"/>
              <w:autoSpaceDE/>
              <w:autoSpaceDN/>
              <w:bidi w:val="0"/>
              <w:adjustRightInd/>
              <w:snapToGrid/>
              <w:spacing w:line="56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lang w:eastAsia="zh-CN"/>
              </w:rPr>
              <w:t>本课程围绕“基础认知、技术应用、伦理责任、创新实践、专业拓展”五个模块设置课程内容。课程内容采用“基础认知—技术应用—场景实践—伦理反思”的递进式设计，总学时32课时。各模块内容根据学生学情和专业特色进行灵活组合与弹性实施。本课程将五个模块有机整合为三个能力层次：通识素养层（基础认知+伦理责任）、专业技能层（技术应用+创新实践）和行业能力层（专业拓展）。</w:t>
            </w:r>
          </w:p>
        </w:tc>
        <w:tc>
          <w:tcPr>
            <w:tcW w:w="574" w:type="pct"/>
            <w:noWrap w:val="0"/>
            <w:vAlign w:val="center"/>
          </w:tcPr>
          <w:p w14:paraId="432F630B">
            <w:pPr>
              <w:pStyle w:val="15"/>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0" w:firstLineChars="0"/>
              <w:jc w:val="center"/>
              <w:textAlignment w:val="baseline"/>
              <w:rPr>
                <w:rFonts w:hint="default" w:ascii="仿宋_GB2312" w:hAnsi="仿宋_GB2312" w:eastAsia="仿宋_GB2312" w:cs="仿宋_GB2312"/>
                <w:color w:val="auto"/>
                <w:spacing w:val="-1"/>
                <w:sz w:val="24"/>
                <w:szCs w:val="24"/>
                <w:lang w:val="en-US" w:eastAsia="zh-CN"/>
              </w:rPr>
            </w:pPr>
            <w:r>
              <w:rPr>
                <w:rFonts w:hint="eastAsia" w:ascii="仿宋_GB2312" w:hAnsi="仿宋_GB2312" w:eastAsia="仿宋_GB2312" w:cs="仿宋_GB2312"/>
                <w:color w:val="auto"/>
                <w:spacing w:val="-1"/>
                <w:sz w:val="24"/>
                <w:szCs w:val="24"/>
                <w:lang w:val="en-US" w:eastAsia="zh-CN"/>
              </w:rPr>
              <w:t>40</w:t>
            </w:r>
          </w:p>
        </w:tc>
      </w:tr>
      <w:bookmarkEnd w:id="22"/>
    </w:tbl>
    <w:p w14:paraId="1C9F7E1A">
      <w:pPr>
        <w:pStyle w:val="3"/>
        <w:bidi w:val="0"/>
        <w:rPr>
          <w:rFonts w:hint="eastAsia"/>
        </w:rPr>
      </w:pPr>
    </w:p>
    <w:p w14:paraId="75AD977C">
      <w:pPr>
        <w:pStyle w:val="3"/>
        <w:bidi w:val="0"/>
        <w:rPr>
          <w:rFonts w:hint="eastAsia"/>
        </w:rPr>
      </w:pPr>
      <w:bookmarkStart w:id="23" w:name="_Toc7753"/>
      <w:r>
        <w:rPr>
          <w:rFonts w:hint="eastAsia"/>
        </w:rPr>
        <w:t>（</w:t>
      </w:r>
      <w:r>
        <w:rPr>
          <w:rFonts w:hint="eastAsia"/>
          <w:lang w:val="en-US" w:eastAsia="zh-CN"/>
        </w:rPr>
        <w:t>三</w:t>
      </w:r>
      <w:r>
        <w:rPr>
          <w:rFonts w:hint="eastAsia"/>
        </w:rPr>
        <w:t>）专业课课程设置及要求</w:t>
      </w:r>
      <w:bookmarkEnd w:id="23"/>
    </w:p>
    <w:p w14:paraId="5D853E91">
      <w:pPr>
        <w:pStyle w:val="4"/>
        <w:bidi w:val="0"/>
        <w:rPr>
          <w:rFonts w:hint="eastAsia"/>
        </w:rPr>
      </w:pPr>
      <w:r>
        <w:rPr>
          <w:rFonts w:hint="eastAsia"/>
        </w:rPr>
        <w:t>1.专业基础课课程设置及要求</w:t>
      </w:r>
    </w:p>
    <w:tbl>
      <w:tblPr>
        <w:tblStyle w:val="16"/>
        <w:tblW w:w="502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41"/>
        <w:gridCol w:w="6908"/>
        <w:gridCol w:w="1142"/>
      </w:tblGrid>
      <w:tr w14:paraId="674E4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889" w:type="pct"/>
            <w:vAlign w:val="center"/>
          </w:tcPr>
          <w:p w14:paraId="775BF236">
            <w:pPr>
              <w:pStyle w:val="15"/>
              <w:keepNext w:val="0"/>
              <w:keepLines w:val="0"/>
              <w:pageBreakBefore w:val="0"/>
              <w:widowControl w:val="0"/>
              <w:kinsoku/>
              <w:wordWrap/>
              <w:overflowPunct/>
              <w:topLinePunct w:val="0"/>
              <w:autoSpaceDE/>
              <w:autoSpaceDN/>
              <w:bidi w:val="0"/>
              <w:adjustRightInd/>
              <w:snapToGrid/>
              <w:spacing w:line="540" w:lineRule="exact"/>
              <w:ind w:left="0"/>
              <w:jc w:val="both"/>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课程名称</w:t>
            </w:r>
          </w:p>
        </w:tc>
        <w:tc>
          <w:tcPr>
            <w:tcW w:w="3527" w:type="pct"/>
            <w:vAlign w:val="center"/>
          </w:tcPr>
          <w:p w14:paraId="06312CCF">
            <w:pPr>
              <w:pStyle w:val="15"/>
              <w:keepNext w:val="0"/>
              <w:keepLines w:val="0"/>
              <w:pageBreakBefore w:val="0"/>
              <w:widowControl w:val="0"/>
              <w:kinsoku/>
              <w:wordWrap/>
              <w:overflowPunct/>
              <w:topLinePunct w:val="0"/>
              <w:autoSpaceDE/>
              <w:autoSpaceDN/>
              <w:bidi w:val="0"/>
              <w:adjustRightInd/>
              <w:snapToGrid/>
              <w:spacing w:line="540" w:lineRule="exact"/>
              <w:ind w:left="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主要教学内容和要求</w:t>
            </w:r>
          </w:p>
        </w:tc>
        <w:tc>
          <w:tcPr>
            <w:tcW w:w="583" w:type="pct"/>
            <w:vAlign w:val="center"/>
          </w:tcPr>
          <w:p w14:paraId="06BE941C">
            <w:pPr>
              <w:pStyle w:val="15"/>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7"/>
                <w:sz w:val="24"/>
                <w:szCs w:val="24"/>
              </w:rPr>
              <w:t>计划</w:t>
            </w:r>
            <w:r>
              <w:rPr>
                <w:rFonts w:hint="eastAsia" w:ascii="仿宋_GB2312" w:hAnsi="仿宋_GB2312" w:eastAsia="仿宋_GB2312" w:cs="仿宋_GB2312"/>
                <w:b/>
                <w:bCs/>
                <w:color w:val="auto"/>
                <w:spacing w:val="-9"/>
                <w:sz w:val="24"/>
                <w:szCs w:val="24"/>
              </w:rPr>
              <w:t>学时</w:t>
            </w:r>
          </w:p>
        </w:tc>
      </w:tr>
      <w:tr w14:paraId="24A6F5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jc w:val="center"/>
        </w:trPr>
        <w:tc>
          <w:tcPr>
            <w:tcW w:w="889" w:type="pct"/>
            <w:vAlign w:val="center"/>
          </w:tcPr>
          <w:p w14:paraId="2CA6FB2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en-US" w:bidi="ar-SA"/>
              </w:rPr>
            </w:pPr>
            <w:r>
              <w:rPr>
                <w:rFonts w:hint="default" w:ascii="仿宋_GB2312" w:hAnsi="仿宋_GB2312" w:eastAsia="仿宋_GB2312" w:cs="仿宋_GB2312"/>
                <w:color w:val="auto"/>
                <w:spacing w:val="-1"/>
                <w:kern w:val="2"/>
                <w:sz w:val="24"/>
                <w:szCs w:val="24"/>
                <w:lang w:val="en-US" w:eastAsia="zh-CN" w:bidi="ar-SA"/>
              </w:rPr>
              <w:t>设计素描</w:t>
            </w:r>
          </w:p>
        </w:tc>
        <w:tc>
          <w:tcPr>
            <w:tcW w:w="3527" w:type="pct"/>
            <w:vAlign w:val="center"/>
          </w:tcPr>
          <w:p w14:paraId="555FD762">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设计素描的基本原理、素描的表现技法、素描的构</w:t>
            </w:r>
            <w:r>
              <w:rPr>
                <w:rFonts w:hint="eastAsia" w:ascii="仿宋_GB2312" w:hAnsi="仿宋_GB2312" w:eastAsia="仿宋_GB2312" w:cs="仿宋_GB2312"/>
                <w:color w:val="auto"/>
                <w:spacing w:val="-7"/>
                <w:sz w:val="24"/>
                <w:szCs w:val="24"/>
                <w:lang w:val="en-US" w:eastAsia="zh-CN"/>
              </w:rPr>
              <w:t>图</w:t>
            </w:r>
            <w:r>
              <w:rPr>
                <w:rFonts w:hint="default" w:ascii="仿宋_GB2312" w:hAnsi="仿宋_GB2312" w:eastAsia="仿宋_GB2312" w:cs="仿宋_GB2312"/>
                <w:color w:val="auto"/>
                <w:spacing w:val="-7"/>
                <w:sz w:val="24"/>
                <w:szCs w:val="24"/>
                <w:lang w:val="en-US" w:eastAsia="zh-CN"/>
              </w:rPr>
              <w:t>与造型、光影与质感的表现、设计素描的案例分析等。</w:t>
            </w:r>
          </w:p>
          <w:p w14:paraId="1AD3537B">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en-US"/>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学会借助明暗关系和黑白灰层次关系，表现物体的结构、比例、空间、质感和物体的相互关系等。掌握在二维平面上塑造三维空间的技法，观察和整体表现物体的方法</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能运用各种素描知识和表现手法描绘物体和头像，具有一定的绘画造型能力和艺术表现力。</w:t>
            </w:r>
          </w:p>
        </w:tc>
        <w:tc>
          <w:tcPr>
            <w:tcW w:w="583" w:type="pct"/>
            <w:vAlign w:val="center"/>
          </w:tcPr>
          <w:p w14:paraId="5164BB2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en-US" w:bidi="ar-SA"/>
              </w:rPr>
            </w:pPr>
            <w:r>
              <w:rPr>
                <w:rFonts w:hint="default" w:ascii="仿宋_GB2312" w:hAnsi="仿宋_GB2312" w:eastAsia="仿宋_GB2312" w:cs="仿宋_GB2312"/>
                <w:color w:val="auto"/>
                <w:spacing w:val="-1"/>
                <w:kern w:val="2"/>
                <w:sz w:val="24"/>
                <w:szCs w:val="24"/>
                <w:lang w:val="en-US" w:eastAsia="zh-CN" w:bidi="ar-SA"/>
              </w:rPr>
              <w:t>60</w:t>
            </w:r>
          </w:p>
        </w:tc>
      </w:tr>
      <w:tr w14:paraId="1CB921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889" w:type="pct"/>
            <w:vAlign w:val="center"/>
          </w:tcPr>
          <w:p w14:paraId="73805EB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设计色彩</w:t>
            </w:r>
          </w:p>
        </w:tc>
        <w:tc>
          <w:tcPr>
            <w:tcW w:w="3527" w:type="pct"/>
            <w:vAlign w:val="center"/>
          </w:tcPr>
          <w:p w14:paraId="3A0BC5E5">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：设计色彩的基本原理、色彩的心理效应与情感表达、色彩的搭配与调和、色彩的表现技法、设计色彩的案例分析等。</w:t>
            </w:r>
          </w:p>
          <w:p w14:paraId="668B8696">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：掌握正确的色彩观察方法和变化规律;能运用色彩关系表现物体、物体的空间和丰富的色彩层次变化;全面、科学地认识色彩，具有敏锐的色彩感觉、一定的色彩组织和表现能力。</w:t>
            </w:r>
          </w:p>
        </w:tc>
        <w:tc>
          <w:tcPr>
            <w:tcW w:w="583" w:type="pct"/>
            <w:vAlign w:val="center"/>
          </w:tcPr>
          <w:p w14:paraId="4CB308A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60</w:t>
            </w:r>
          </w:p>
        </w:tc>
      </w:tr>
      <w:tr w14:paraId="36B0B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9" w:type="pct"/>
            <w:vAlign w:val="center"/>
          </w:tcPr>
          <w:p w14:paraId="490B8B7D">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基础图案</w:t>
            </w:r>
          </w:p>
        </w:tc>
        <w:tc>
          <w:tcPr>
            <w:tcW w:w="3527" w:type="pct"/>
            <w:vAlign w:val="center"/>
          </w:tcPr>
          <w:p w14:paraId="35896CFE">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图案的基础常识</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形式美法则、图案的色彩</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写生变化的基本规律</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单独纹样的构成设计；适合纹样的组织及空间设计</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二方连续纹样的特点及组织形式</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中国传统图案。</w:t>
            </w:r>
          </w:p>
          <w:p w14:paraId="2EC6659D">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了解和掌握图案的各种组织形式的特点、规律，图案设计的方法步骤</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了解不同民族图案的特点及发展趋势。</w:t>
            </w:r>
          </w:p>
        </w:tc>
        <w:tc>
          <w:tcPr>
            <w:tcW w:w="583" w:type="pct"/>
            <w:vAlign w:val="center"/>
          </w:tcPr>
          <w:p w14:paraId="05D2BA2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60</w:t>
            </w:r>
          </w:p>
        </w:tc>
      </w:tr>
      <w:tr w14:paraId="6233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13" w:hRule="atLeast"/>
          <w:jc w:val="center"/>
        </w:trPr>
        <w:tc>
          <w:tcPr>
            <w:tcW w:w="889" w:type="pct"/>
            <w:vAlign w:val="center"/>
          </w:tcPr>
          <w:p w14:paraId="7FD6FE5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构成基础</w:t>
            </w:r>
          </w:p>
        </w:tc>
        <w:tc>
          <w:tcPr>
            <w:tcW w:w="3527" w:type="pct"/>
            <w:vAlign w:val="center"/>
          </w:tcPr>
          <w:p w14:paraId="0DF2C07D">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涵盖平面、色彩、立体构成的起源、概念以及构成教育的发展脉络，帮助建立对构成设计的整体认知；平面构成模块讲解点、线、面等形态要素，重复、特异、渐变、发射等构成形式法则，以及空间、肌理构成的设计方法；色彩构成模块介绍色彩构成的基本元素、形式美法则，色相、明度、纯度三要素，色立体、色相环等色彩基本形式，以及色调设计知识；立体构成模块传授立体构成的美学原则，线材、面材、块材的构成方式，单元形体组合与分割造型的方法，同时涉及立体造型的技术与材料知识。</w:t>
            </w:r>
          </w:p>
          <w:p w14:paraId="638F1D0E">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系统理解平面、色彩、立体构成的核心理论与规律，熟练运用形式美法则进行设计创作</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具备平面形态创造与组合、色彩搭配与设计、立体空间造型的实践能力，能独立完成不同类型的构成设计作品</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形成现代设计观念与审美意识，建立从平面到立体的整体设计思维，能够灵活运用构成知识进行跨维度的设计创新</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掌握构成设计在实际创作中的应用方法，能够结合技术与材料特性，完成符合设计要求的、兼具创意与实用性的构成作品。</w:t>
            </w:r>
          </w:p>
        </w:tc>
        <w:tc>
          <w:tcPr>
            <w:tcW w:w="583" w:type="pct"/>
            <w:vAlign w:val="center"/>
          </w:tcPr>
          <w:p w14:paraId="118F9FF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120</w:t>
            </w:r>
          </w:p>
        </w:tc>
      </w:tr>
      <w:tr w14:paraId="1C527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889" w:type="pct"/>
            <w:vAlign w:val="center"/>
          </w:tcPr>
          <w:p w14:paraId="381CD052">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中外图案</w:t>
            </w:r>
          </w:p>
        </w:tc>
        <w:tc>
          <w:tcPr>
            <w:tcW w:w="3527" w:type="pct"/>
            <w:vAlign w:val="center"/>
          </w:tcPr>
          <w:p w14:paraId="5968236D">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1.</w:t>
            </w: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中国传统图案、中国民间图案、外国不同时间地域文化风格图案、外国现代图案</w:t>
            </w:r>
          </w:p>
          <w:p w14:paraId="3953C1AF">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了解其造型元素的来源及艺术风格</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掌握设计抽象图案；对摄影类图像进行剪辑重构设计等。</w:t>
            </w:r>
          </w:p>
        </w:tc>
        <w:tc>
          <w:tcPr>
            <w:tcW w:w="583" w:type="pct"/>
            <w:vAlign w:val="center"/>
          </w:tcPr>
          <w:p w14:paraId="233F204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60</w:t>
            </w:r>
          </w:p>
        </w:tc>
      </w:tr>
      <w:tr w14:paraId="59232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3" w:hRule="atLeast"/>
          <w:jc w:val="center"/>
        </w:trPr>
        <w:tc>
          <w:tcPr>
            <w:tcW w:w="889" w:type="pct"/>
            <w:vAlign w:val="center"/>
          </w:tcPr>
          <w:p w14:paraId="32BEC91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速写</w:t>
            </w:r>
          </w:p>
        </w:tc>
        <w:tc>
          <w:tcPr>
            <w:tcW w:w="3527" w:type="pct"/>
            <w:vAlign w:val="center"/>
          </w:tcPr>
          <w:p w14:paraId="4166024A">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2.</w:t>
            </w: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速写概述、事物观察方法；速写构图、造型，以及线的运用表现技法；速写实训</w:t>
            </w:r>
          </w:p>
          <w:p w14:paraId="0920EDCC">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了解速写的起源、特点和作用</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学习并掌握速写的构图与造型技法；掌握线的运用在速写的表现技法。</w:t>
            </w:r>
          </w:p>
        </w:tc>
        <w:tc>
          <w:tcPr>
            <w:tcW w:w="583" w:type="pct"/>
            <w:vAlign w:val="center"/>
          </w:tcPr>
          <w:p w14:paraId="595C855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60</w:t>
            </w:r>
          </w:p>
        </w:tc>
      </w:tr>
      <w:tr w14:paraId="6F5C6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8" w:hRule="atLeast"/>
          <w:jc w:val="center"/>
        </w:trPr>
        <w:tc>
          <w:tcPr>
            <w:tcW w:w="889" w:type="pct"/>
            <w:vAlign w:val="center"/>
          </w:tcPr>
          <w:p w14:paraId="17F7574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艺术概论</w:t>
            </w:r>
          </w:p>
        </w:tc>
        <w:tc>
          <w:tcPr>
            <w:tcW w:w="3527" w:type="pct"/>
            <w:vAlign w:val="center"/>
          </w:tcPr>
          <w:p w14:paraId="7D6F7A86">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艺术概论是对艺术活动进行分析、研究，以揭示艺术的本质和规律，指导人们按照艺术的特殊规律进行艺术创作和艺术鉴赏，提升人们的艺术修养，充分发挥艺术的各种功能。</w:t>
            </w:r>
          </w:p>
        </w:tc>
        <w:tc>
          <w:tcPr>
            <w:tcW w:w="583" w:type="pct"/>
            <w:vAlign w:val="center"/>
          </w:tcPr>
          <w:p w14:paraId="486E1DD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36</w:t>
            </w:r>
          </w:p>
        </w:tc>
      </w:tr>
      <w:tr w14:paraId="299A7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7" w:hRule="atLeast"/>
          <w:jc w:val="center"/>
        </w:trPr>
        <w:tc>
          <w:tcPr>
            <w:tcW w:w="889" w:type="pct"/>
            <w:vAlign w:val="center"/>
          </w:tcPr>
          <w:p w14:paraId="2AD5706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艺术史</w:t>
            </w:r>
          </w:p>
        </w:tc>
        <w:tc>
          <w:tcPr>
            <w:tcW w:w="3527" w:type="pct"/>
            <w:vAlign w:val="center"/>
          </w:tcPr>
          <w:p w14:paraId="7D111A5D">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了解人类文明发展的历史进程，学习每个时期的社会文化背景对艺术创作的重要影响，结合课程中的理论知识和实践案例，从多个角度深入思考艺术史课程的意义和价值。</w:t>
            </w:r>
          </w:p>
        </w:tc>
        <w:tc>
          <w:tcPr>
            <w:tcW w:w="583" w:type="pct"/>
            <w:vAlign w:val="center"/>
          </w:tcPr>
          <w:p w14:paraId="66C3F30B">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36</w:t>
            </w:r>
          </w:p>
        </w:tc>
      </w:tr>
    </w:tbl>
    <w:p w14:paraId="1AAC8B2E">
      <w:pPr>
        <w:pStyle w:val="4"/>
        <w:bidi w:val="0"/>
        <w:rPr>
          <w:rFonts w:hint="eastAsia"/>
        </w:rPr>
      </w:pPr>
    </w:p>
    <w:p w14:paraId="227C5D49">
      <w:pPr>
        <w:pStyle w:val="4"/>
        <w:bidi w:val="0"/>
        <w:rPr>
          <w:rFonts w:hint="eastAsia"/>
        </w:rPr>
      </w:pPr>
      <w:r>
        <w:rPr>
          <w:rFonts w:hint="eastAsia"/>
        </w:rPr>
        <w:t>2.专业核心课程设置及要求</w:t>
      </w:r>
    </w:p>
    <w:tbl>
      <w:tblPr>
        <w:tblStyle w:val="16"/>
        <w:tblW w:w="501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37"/>
        <w:gridCol w:w="6884"/>
        <w:gridCol w:w="1156"/>
      </w:tblGrid>
      <w:tr w14:paraId="42606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8" w:type="pct"/>
            <w:vAlign w:val="center"/>
          </w:tcPr>
          <w:p w14:paraId="5C3B07FD">
            <w:pPr>
              <w:pStyle w:val="15"/>
              <w:keepNext w:val="0"/>
              <w:keepLines w:val="0"/>
              <w:pageBreakBefore w:val="0"/>
              <w:wordWrap/>
              <w:overflowPunct/>
              <w:topLinePunct w:val="0"/>
              <w:bidi w:val="0"/>
              <w:spacing w:line="540" w:lineRule="exact"/>
              <w:ind w:left="0" w:lef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课程名称</w:t>
            </w:r>
          </w:p>
        </w:tc>
        <w:tc>
          <w:tcPr>
            <w:tcW w:w="3519" w:type="pct"/>
            <w:vAlign w:val="center"/>
          </w:tcPr>
          <w:p w14:paraId="7955F84B">
            <w:pPr>
              <w:pStyle w:val="15"/>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主要教学内容和要求</w:t>
            </w:r>
          </w:p>
        </w:tc>
        <w:tc>
          <w:tcPr>
            <w:tcW w:w="591" w:type="pct"/>
            <w:vAlign w:val="center"/>
          </w:tcPr>
          <w:p w14:paraId="7030F1C8">
            <w:pPr>
              <w:pStyle w:val="15"/>
              <w:keepNext w:val="0"/>
              <w:keepLines w:val="0"/>
              <w:pageBreakBefore w:val="0"/>
              <w:wordWrap/>
              <w:overflowPunct/>
              <w:topLinePunct w:val="0"/>
              <w:bidi w:val="0"/>
              <w:spacing w:line="540" w:lineRule="exact"/>
              <w:ind w:left="0" w:lef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7"/>
                <w:sz w:val="24"/>
                <w:szCs w:val="24"/>
              </w:rPr>
              <w:t>计划</w:t>
            </w:r>
            <w:r>
              <w:rPr>
                <w:rFonts w:hint="eastAsia" w:ascii="仿宋_GB2312" w:hAnsi="仿宋_GB2312" w:eastAsia="仿宋_GB2312" w:cs="仿宋_GB2312"/>
                <w:b/>
                <w:bCs/>
                <w:color w:val="auto"/>
                <w:spacing w:val="-9"/>
                <w:sz w:val="24"/>
                <w:szCs w:val="24"/>
              </w:rPr>
              <w:t>学时</w:t>
            </w:r>
          </w:p>
        </w:tc>
      </w:tr>
      <w:tr w14:paraId="7AE25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888" w:type="pct"/>
            <w:vAlign w:val="center"/>
          </w:tcPr>
          <w:p w14:paraId="520BBBD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陶艺</w:t>
            </w:r>
          </w:p>
        </w:tc>
        <w:tc>
          <w:tcPr>
            <w:tcW w:w="3519" w:type="pct"/>
            <w:vAlign w:val="center"/>
          </w:tcPr>
          <w:p w14:paraId="31DCC3AE">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泥条盘筑成型法</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泥板粘接成型、印坯及手捏成型</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手工拉坯成型</w:t>
            </w:r>
            <w:r>
              <w:rPr>
                <w:rFonts w:hint="eastAsia" w:ascii="仿宋_GB2312" w:hAnsi="仿宋_GB2312" w:eastAsia="仿宋_GB2312" w:cs="仿宋_GB2312"/>
                <w:color w:val="auto"/>
                <w:spacing w:val="-7"/>
                <w:sz w:val="24"/>
                <w:szCs w:val="24"/>
                <w:lang w:val="en-US" w:eastAsia="zh-CN"/>
              </w:rPr>
              <w:t>；讲解广西壮侗民族图腾、柳州特色民俗符号的文化内涵与造型特征，传授民俗纹样刻划、泥条贴塑、釉色适配（壮族蓝靛色调、侗族青灰釉色）等装饰技法，结合摆件主题选择釉料并指导施釉操作。</w:t>
            </w:r>
          </w:p>
          <w:p w14:paraId="7A88B463">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初步了解陶艺的材料、工具、设备以及各类工艺，了解传统陶瓷的成型工艺，基本掌握现代陶艺主要成型手段，以及陶瓷烧成对坯体、釉料的工艺要求，同时掌握基本陶艺设备的使用方法，还有泥料水份控制和陶艺成型技法。</w:t>
            </w:r>
          </w:p>
        </w:tc>
        <w:tc>
          <w:tcPr>
            <w:tcW w:w="591" w:type="pct"/>
            <w:vAlign w:val="center"/>
          </w:tcPr>
          <w:p w14:paraId="6374AA5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120</w:t>
            </w:r>
          </w:p>
        </w:tc>
      </w:tr>
      <w:tr w14:paraId="418BC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6" w:hRule="atLeast"/>
          <w:jc w:val="center"/>
        </w:trPr>
        <w:tc>
          <w:tcPr>
            <w:tcW w:w="888" w:type="pct"/>
            <w:vAlign w:val="center"/>
          </w:tcPr>
          <w:p w14:paraId="5567BFDF">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装饰画</w:t>
            </w:r>
          </w:p>
        </w:tc>
        <w:tc>
          <w:tcPr>
            <w:tcW w:w="3519" w:type="pct"/>
            <w:vAlign w:val="center"/>
          </w:tcPr>
          <w:p w14:paraId="65B09ACA">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第一阶段为手绘装饰画，涵盖装饰画概述，重点结合柳州侗族鼓楼彩绘、壮族织锦图案、苗族银饰纹样等少数民族装饰艺术特色展开讲解；深入剖析装饰画表现规律，教授如何提炼柳州地域符号与少数民族传统纹样的装饰性语言；讲解水彩、丙烯、马克笔等手绘装饰画材料与肌理表现，融入柳州实地采风素材收集与转化的内容；第二阶段为综合材料制作装饰画，引入柳州本地特色材料（侗族木片、苗族蜡染布料、壮锦丝线、螺蛳粉衍生创意材料等），讲解综合材料的肌理特性、组合方式与创作技法，指导学生将手绘阶段的柳州主题装饰画元素与本地材料进行融合创作；</w:t>
            </w:r>
          </w:p>
          <w:p w14:paraId="7A9A11DF">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学生在第一阶段掌握装饰画基础理论知识的同时，深入理解柳州少数民族装饰艺术的文化内涵，熟练运用至少3种手绘核心表现技法，能独立完成以柳州地域文化为主题的手绘装饰画创作，在技法训练中结合采风素材深化理论理解，实现理论实践融合，提升对柳州地域特色造型的提炼能力；第二阶段需掌握综合材料的特性与运用方法，能将手绘装饰画元素与柳州本地材料有机融合，创新装饰表现形式，独立完成兼具柳州少数民族文化韵味与现代创意的综合材料装饰画，提升跨材料创作能力与文化融合表达水平。</w:t>
            </w:r>
          </w:p>
        </w:tc>
        <w:tc>
          <w:tcPr>
            <w:tcW w:w="591" w:type="pct"/>
            <w:vAlign w:val="center"/>
          </w:tcPr>
          <w:p w14:paraId="4E69E72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140</w:t>
            </w:r>
          </w:p>
        </w:tc>
      </w:tr>
      <w:tr w14:paraId="2485B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3" w:hRule="atLeast"/>
          <w:jc w:val="center"/>
        </w:trPr>
        <w:tc>
          <w:tcPr>
            <w:tcW w:w="888" w:type="pct"/>
            <w:vAlign w:val="center"/>
          </w:tcPr>
          <w:p w14:paraId="4F2260F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文创设计</w:t>
            </w:r>
          </w:p>
        </w:tc>
        <w:tc>
          <w:tcPr>
            <w:tcW w:w="3519" w:type="pct"/>
            <w:vAlign w:val="top"/>
          </w:tcPr>
          <w:p w14:paraId="5931C984">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教学内容：围绕柳州地域特色，讲解在地化文创概念，挖掘“壮歌瑶舞苗侗楼”民族文化、螺蛳粉饮食文化、柳工五菱工业文化等元素的内涵与视觉符号，结合本地木材、织锦丝线等材料特性，探索非遗工艺与现代工业工艺的融合路径，平衡传统工艺文化价值与现代设计市场需求。</w:t>
            </w:r>
          </w:p>
          <w:p w14:paraId="002A3BCC">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教学要求：以柳州特色主题开展小组创作，深入本地实地调研，掌握至少一项柳州特色工艺基础技法，实现地域文化、本地材料与工艺的有机融合，设计适配文旅市场、兼具实用性与推广价值的文创产品。</w:t>
            </w:r>
          </w:p>
        </w:tc>
        <w:tc>
          <w:tcPr>
            <w:tcW w:w="591" w:type="pct"/>
            <w:vAlign w:val="center"/>
          </w:tcPr>
          <w:p w14:paraId="503D67B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120</w:t>
            </w:r>
          </w:p>
        </w:tc>
      </w:tr>
      <w:tr w14:paraId="2A6B6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1" w:hRule="atLeast"/>
          <w:jc w:val="center"/>
        </w:trPr>
        <w:tc>
          <w:tcPr>
            <w:tcW w:w="888" w:type="pct"/>
            <w:vAlign w:val="center"/>
          </w:tcPr>
          <w:p w14:paraId="405F3A69">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玉雕</w:t>
            </w:r>
          </w:p>
        </w:tc>
        <w:tc>
          <w:tcPr>
            <w:tcW w:w="3519" w:type="pct"/>
            <w:vAlign w:val="top"/>
          </w:tcPr>
          <w:p w14:paraId="05C3CFE3">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教学内容：玉石文化发展简史，系统讲解玉石种类、通用特性及玉雕工具与基础技法，融入柳州侗族鼓楼、风雨桥、壮锦纹样等地域文化符号的雕刻转化方法，开展玉石手工雕刻技艺训练，指导以柳州地域文化为主题的玉雕作品设计、制作与展示；</w:t>
            </w:r>
          </w:p>
          <w:p w14:paraId="09D98311">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教学要求：学生掌握玉石性能、选料、雕刻成型等工艺，熟练运用阴刻阳雕与镂空透雕技术，将地域文化元素融入作品创作，使玉雕作品气韵生动，在温润玉石表面呈现细腻层次纹理，充分展现玉雕手工技艺的独特魅力与柳州地域文化内涵。</w:t>
            </w:r>
          </w:p>
        </w:tc>
        <w:tc>
          <w:tcPr>
            <w:tcW w:w="591" w:type="pct"/>
            <w:vAlign w:val="center"/>
          </w:tcPr>
          <w:p w14:paraId="3D052FFB">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160</w:t>
            </w:r>
          </w:p>
        </w:tc>
      </w:tr>
      <w:tr w14:paraId="11214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9" w:hRule="atLeast"/>
          <w:jc w:val="center"/>
        </w:trPr>
        <w:tc>
          <w:tcPr>
            <w:tcW w:w="888" w:type="pct"/>
            <w:vAlign w:val="center"/>
          </w:tcPr>
          <w:p w14:paraId="55F18308">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民间印染</w:t>
            </w:r>
          </w:p>
        </w:tc>
        <w:tc>
          <w:tcPr>
            <w:tcW w:w="3519" w:type="pct"/>
            <w:vAlign w:val="center"/>
          </w:tcPr>
          <w:p w14:paraId="291607C7">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涵盖扎染简史，重点补充柳州苗族、瑶族、侗族等少数民族扎染技艺的传承脉络与发展现状，讲解扎染的种类、特征，结合柳州本地蓝靛等天然植物染料特性与传统织物材料，系统传授扎染工艺过程，指导学生将柳州少数民族经典图案及地域文化元素（如紫荆花、风雨桥、螺蛳粉视觉符号）融入扎染作品的设计制作与应用；</w:t>
            </w:r>
          </w:p>
          <w:p w14:paraId="0874CFE6">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eastAsia" w:ascii="仿宋_GB2312" w:hAnsi="仿宋_GB2312" w:eastAsia="仿宋_GB2312" w:cs="仿宋_GB2312"/>
                <w:color w:val="auto"/>
                <w:spacing w:val="-7"/>
                <w:sz w:val="24"/>
                <w:szCs w:val="24"/>
                <w:lang w:val="en-US" w:eastAsia="zh-CN"/>
              </w:rPr>
              <w:t>教学要求：学生熟练掌握扎染核心工艺并进行创新转化，使作品既充分体现扎染手工艺的独特肌理与色彩特色，又深度融合柳州少数民族文化内涵与地域特色，展现兼具传统韵味与时代创新的设计理念。</w:t>
            </w:r>
          </w:p>
        </w:tc>
        <w:tc>
          <w:tcPr>
            <w:tcW w:w="591" w:type="pct"/>
            <w:vAlign w:val="center"/>
          </w:tcPr>
          <w:p w14:paraId="1F3E7CD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100</w:t>
            </w:r>
          </w:p>
        </w:tc>
      </w:tr>
      <w:tr w14:paraId="15484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5" w:hRule="atLeast"/>
          <w:jc w:val="center"/>
        </w:trPr>
        <w:tc>
          <w:tcPr>
            <w:tcW w:w="888" w:type="pct"/>
            <w:vAlign w:val="center"/>
          </w:tcPr>
          <w:p w14:paraId="2161283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计算机平面设计（Ps）</w:t>
            </w:r>
          </w:p>
        </w:tc>
        <w:tc>
          <w:tcPr>
            <w:tcW w:w="3519" w:type="pct"/>
            <w:vAlign w:val="center"/>
          </w:tcPr>
          <w:p w14:paraId="031CBE2F">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1.Adobe Photoshop功能的了解和操作</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Adobe Photoshop平面设计的应用</w:t>
            </w:r>
          </w:p>
          <w:p w14:paraId="4274CF88">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w:t>
            </w:r>
            <w:r>
              <w:rPr>
                <w:rFonts w:hint="default" w:ascii="仿宋_GB2312" w:hAnsi="仿宋_GB2312" w:eastAsia="仿宋_GB2312" w:cs="仿宋_GB2312"/>
                <w:color w:val="auto"/>
                <w:spacing w:val="-7"/>
                <w:sz w:val="24"/>
                <w:szCs w:val="24"/>
                <w:lang w:val="en-US" w:eastAsia="zh-CN"/>
              </w:rPr>
              <w:t>通过大量的操作练习，最终每个学生都能够熟练掌握Adobe Photoshop软件的操作。能将具有本专业特点的摄影图片与Photoshop完美的融合在一起。也能利用Photoshop软件来完成相关的平面设计。</w:t>
            </w:r>
          </w:p>
        </w:tc>
        <w:tc>
          <w:tcPr>
            <w:tcW w:w="591" w:type="pct"/>
            <w:vAlign w:val="center"/>
          </w:tcPr>
          <w:p w14:paraId="1BF94D6E">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1"/>
                <w:kern w:val="2"/>
                <w:sz w:val="24"/>
                <w:szCs w:val="24"/>
                <w:lang w:val="en-US" w:eastAsia="zh-CN" w:bidi="ar-SA"/>
              </w:rPr>
            </w:pPr>
            <w:r>
              <w:rPr>
                <w:rFonts w:hint="default" w:ascii="仿宋_GB2312" w:hAnsi="仿宋_GB2312" w:eastAsia="仿宋_GB2312" w:cs="仿宋_GB2312"/>
                <w:color w:val="auto"/>
                <w:spacing w:val="-1"/>
                <w:kern w:val="2"/>
                <w:sz w:val="24"/>
                <w:szCs w:val="24"/>
                <w:lang w:val="en-US" w:eastAsia="zh-CN" w:bidi="ar-SA"/>
              </w:rPr>
              <w:t>60</w:t>
            </w:r>
          </w:p>
        </w:tc>
      </w:tr>
      <w:tr w14:paraId="57020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888" w:type="pct"/>
            <w:vAlign w:val="center"/>
          </w:tcPr>
          <w:p w14:paraId="5EF32CF5">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3D建模</w:t>
            </w:r>
          </w:p>
        </w:tc>
        <w:tc>
          <w:tcPr>
            <w:tcW w:w="3519" w:type="pct"/>
            <w:vAlign w:val="center"/>
          </w:tcPr>
          <w:p w14:paraId="7E147559">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lang w:val="en-US" w:eastAsia="zh-CN"/>
              </w:rPr>
              <w:t>:涵盖三大模块：基础入门模块介绍建模软件基础操作，结合柳州侗族鼓楼、壮锦纹样等民间传统工艺讲解立体形态转数字化模型思路；核心建模模块教授陶艺器皿、木雕摆件等传统工艺品从平面到3D模型的构建技法，以及风雨桥、螺蛳粉卡通形象等柳州地域元素的特征提取与建模创作；3D打印衔接模块讲解3D打印原理、技术及材料特性，传授模型打印前优化、切片操作与参数设置方法，以及成品打磨、上色等后处理技巧。</w:t>
            </w:r>
          </w:p>
          <w:p w14:paraId="64E07606">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default" w:ascii="仿宋_GB2312" w:hAnsi="仿宋_GB2312" w:eastAsia="仿宋_GB2312" w:cs="仿宋_GB2312"/>
                <w:color w:val="auto"/>
                <w:spacing w:val="-7"/>
                <w:sz w:val="24"/>
                <w:szCs w:val="24"/>
                <w:lang w:val="en-US" w:eastAsia="zh-CN"/>
              </w:rPr>
            </w:pPr>
            <w:r>
              <w:rPr>
                <w:rFonts w:hint="default" w:ascii="仿宋_GB2312" w:hAnsi="仿宋_GB2312" w:eastAsia="仿宋_GB2312" w:cs="仿宋_GB2312"/>
                <w:color w:val="auto"/>
                <w:spacing w:val="-7"/>
                <w:sz w:val="24"/>
                <w:szCs w:val="24"/>
                <w:lang w:val="en-US" w:eastAsia="zh-CN"/>
              </w:rPr>
              <w:t>教学要求</w:t>
            </w:r>
            <w:r>
              <w:rPr>
                <w:rFonts w:hint="eastAsia" w:ascii="仿宋_GB2312" w:hAnsi="仿宋_GB2312" w:eastAsia="仿宋_GB2312" w:cs="仿宋_GB2312"/>
                <w:color w:val="auto"/>
                <w:spacing w:val="-7"/>
                <w:sz w:val="24"/>
                <w:szCs w:val="24"/>
                <w:lang w:val="en-US" w:eastAsia="zh-CN"/>
              </w:rPr>
              <w:t>：需掌握3D建模软件基础操作，理解数字化建模与传统工艺创作的关联，熟悉民间传统工艺品结构特征并掌握地域文化元素提取与建模方法，了解3D打印技术原理、材料特性及模型优化要点；能独立完成简单传统工艺品建模制作并融入柳州地域文化元素，熟练开展模型打印前优化、切片软件操作及成品基础后处理；树立传统工艺数字化传承与创新意识，培养耐心细致的建模习惯，增强团队协作能力，了解3D打印在传统工艺行业的应用前景以提升职业发展认知。</w:t>
            </w:r>
          </w:p>
        </w:tc>
        <w:tc>
          <w:tcPr>
            <w:tcW w:w="591" w:type="pct"/>
            <w:vAlign w:val="center"/>
          </w:tcPr>
          <w:p w14:paraId="16536B1A">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spacing w:val="-1"/>
                <w:kern w:val="2"/>
                <w:sz w:val="24"/>
                <w:szCs w:val="24"/>
                <w:lang w:val="en-US" w:eastAsia="zh-CN" w:bidi="ar-SA"/>
              </w:rPr>
              <w:t>140</w:t>
            </w:r>
          </w:p>
        </w:tc>
      </w:tr>
    </w:tbl>
    <w:p w14:paraId="17D1EB89">
      <w:pPr>
        <w:pStyle w:val="4"/>
        <w:bidi w:val="0"/>
        <w:rPr>
          <w:rFonts w:hint="eastAsia"/>
        </w:rPr>
      </w:pPr>
    </w:p>
    <w:p w14:paraId="146688EB">
      <w:pPr>
        <w:pStyle w:val="4"/>
        <w:bidi w:val="0"/>
        <w:rPr>
          <w:rFonts w:hint="eastAsia"/>
        </w:rPr>
      </w:pPr>
      <w:r>
        <w:rPr>
          <w:rFonts w:hint="eastAsia"/>
        </w:rPr>
        <w:t>3.专业拓展课程设置及要求</w:t>
      </w:r>
    </w:p>
    <w:tbl>
      <w:tblPr>
        <w:tblStyle w:val="16"/>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72"/>
        <w:gridCol w:w="6862"/>
        <w:gridCol w:w="1187"/>
      </w:tblGrid>
      <w:tr w14:paraId="2A3E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8" w:hRule="atLeast"/>
          <w:jc w:val="center"/>
        </w:trPr>
        <w:tc>
          <w:tcPr>
            <w:tcW w:w="902" w:type="pct"/>
            <w:tcMar>
              <w:left w:w="108" w:type="dxa"/>
              <w:right w:w="108" w:type="dxa"/>
            </w:tcMar>
            <w:vAlign w:val="center"/>
          </w:tcPr>
          <w:p w14:paraId="79CFAFA2">
            <w:pPr>
              <w:pStyle w:val="15"/>
              <w:keepNext w:val="0"/>
              <w:keepLines w:val="0"/>
              <w:pageBreakBefore w:val="0"/>
              <w:wordWrap/>
              <w:overflowPunct/>
              <w:topLinePunct w:val="0"/>
              <w:bidi w:val="0"/>
              <w:spacing w:line="540" w:lineRule="exact"/>
              <w:ind w:left="0" w:leftChars="0" w:firstLine="462" w:firstLineChars="200"/>
              <w:jc w:val="both"/>
              <w:rPr>
                <w:rFonts w:hint="eastAsia" w:ascii="仿宋_GB2312" w:hAnsi="仿宋_GB2312" w:eastAsia="仿宋_GB2312" w:cs="仿宋_GB2312"/>
                <w:color w:val="auto"/>
                <w:kern w:val="2"/>
                <w:sz w:val="24"/>
                <w:szCs w:val="24"/>
                <w:lang w:val="en-US" w:eastAsia="en-US" w:bidi="ar-SA"/>
              </w:rPr>
            </w:pPr>
            <w:r>
              <w:rPr>
                <w:rFonts w:hint="eastAsia" w:ascii="仿宋_GB2312" w:hAnsi="仿宋_GB2312" w:eastAsia="仿宋_GB2312" w:cs="仿宋_GB2312"/>
                <w:b/>
                <w:bCs/>
                <w:color w:val="auto"/>
                <w:spacing w:val="-5"/>
                <w:kern w:val="2"/>
                <w:sz w:val="24"/>
                <w:szCs w:val="24"/>
                <w:lang w:val="en-US" w:eastAsia="en-US" w:bidi="ar-SA"/>
              </w:rPr>
              <w:t>课程名称</w:t>
            </w:r>
          </w:p>
        </w:tc>
        <w:tc>
          <w:tcPr>
            <w:tcW w:w="3493" w:type="pct"/>
            <w:tcMar>
              <w:left w:w="108" w:type="dxa"/>
              <w:right w:w="108" w:type="dxa"/>
            </w:tcMar>
            <w:vAlign w:val="center"/>
          </w:tcPr>
          <w:p w14:paraId="3DC222C8">
            <w:pPr>
              <w:pStyle w:val="15"/>
              <w:keepNext w:val="0"/>
              <w:keepLines w:val="0"/>
              <w:pageBreakBefore w:val="0"/>
              <w:wordWrap/>
              <w:overflowPunct/>
              <w:topLinePunct w:val="0"/>
              <w:bidi w:val="0"/>
              <w:spacing w:line="540" w:lineRule="exact"/>
              <w:ind w:left="0" w:leftChars="0" w:firstLine="462" w:firstLineChars="200"/>
              <w:jc w:val="center"/>
              <w:rPr>
                <w:rFonts w:hint="eastAsia" w:ascii="仿宋_GB2312" w:hAnsi="仿宋_GB2312" w:eastAsia="仿宋_GB2312" w:cs="仿宋_GB2312"/>
                <w:color w:val="auto"/>
                <w:kern w:val="2"/>
                <w:sz w:val="24"/>
                <w:szCs w:val="24"/>
                <w:lang w:val="en-US" w:eastAsia="en-US" w:bidi="ar-SA"/>
              </w:rPr>
            </w:pPr>
            <w:r>
              <w:rPr>
                <w:rFonts w:hint="eastAsia" w:ascii="仿宋_GB2312" w:hAnsi="仿宋_GB2312" w:eastAsia="仿宋_GB2312" w:cs="仿宋_GB2312"/>
                <w:b/>
                <w:bCs/>
                <w:color w:val="auto"/>
                <w:spacing w:val="-5"/>
                <w:kern w:val="2"/>
                <w:sz w:val="24"/>
                <w:szCs w:val="24"/>
                <w:lang w:val="en-US" w:eastAsia="en-US" w:bidi="ar-SA"/>
              </w:rPr>
              <w:t>主要教学内容和要求</w:t>
            </w:r>
          </w:p>
        </w:tc>
        <w:tc>
          <w:tcPr>
            <w:tcW w:w="604" w:type="pct"/>
            <w:tcMar>
              <w:left w:w="108" w:type="dxa"/>
              <w:right w:w="108" w:type="dxa"/>
            </w:tcMar>
            <w:vAlign w:val="center"/>
          </w:tcPr>
          <w:p w14:paraId="042DD19C">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仿宋_GB2312" w:hAnsi="仿宋_GB2312" w:eastAsia="仿宋_GB2312" w:cs="仿宋_GB2312"/>
                <w:color w:val="auto"/>
                <w:spacing w:val="-7"/>
                <w:kern w:val="2"/>
                <w:sz w:val="24"/>
                <w:szCs w:val="24"/>
                <w:lang w:val="en-US" w:eastAsia="en-US" w:bidi="ar-SA"/>
              </w:rPr>
            </w:pPr>
            <w:r>
              <w:rPr>
                <w:rFonts w:hint="eastAsia" w:ascii="仿宋_GB2312" w:hAnsi="仿宋_GB2312" w:eastAsia="仿宋_GB2312" w:cs="仿宋_GB2312"/>
                <w:b/>
                <w:bCs/>
                <w:color w:val="auto"/>
                <w:spacing w:val="-5"/>
                <w:kern w:val="2"/>
                <w:sz w:val="24"/>
                <w:szCs w:val="24"/>
                <w:lang w:val="en-US" w:eastAsia="en-US" w:bidi="ar-SA"/>
              </w:rPr>
              <w:t>计划学时</w:t>
            </w:r>
          </w:p>
        </w:tc>
      </w:tr>
      <w:tr w14:paraId="7A68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85" w:hRule="atLeast"/>
          <w:jc w:val="center"/>
        </w:trPr>
        <w:tc>
          <w:tcPr>
            <w:tcW w:w="902" w:type="pct"/>
            <w:tcMar>
              <w:left w:w="108" w:type="dxa"/>
              <w:right w:w="108" w:type="dxa"/>
            </w:tcMar>
            <w:vAlign w:val="center"/>
          </w:tcPr>
          <w:p w14:paraId="474A80E1">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彩塑</w:t>
            </w:r>
          </w:p>
        </w:tc>
        <w:tc>
          <w:tcPr>
            <w:tcW w:w="3493" w:type="pct"/>
            <w:tcMar>
              <w:left w:w="108" w:type="dxa"/>
              <w:right w:w="108" w:type="dxa"/>
            </w:tcMar>
            <w:vAlign w:val="top"/>
          </w:tcPr>
          <w:p w14:paraId="52780414">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软陶制品的发展趋势，掌握基本材料与制作流程，掌握小型骨架制作的知识、多种不同材料的塑造方法；新增柳州地域民俗文化解析，潮玩彩塑的风格特点、Q版造型设计方法、IP化创作思路，以及柳州特色视觉元素与潮玩风格融合的创作技法，包括民俗符号提炼、潮玩造型转化、色彩搭配技巧等内容。</w:t>
            </w:r>
          </w:p>
          <w:p w14:paraId="12F04184">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具备设计与制作小型软陶饰品摆件的能力、灵活合理使用艺术塑造语言的能力、一定的工具操控能力；同时深入理解柳州地域民俗文化内涵与潮玩市场审美需求，熟练掌握柳州特色元素与彩塑工艺的融合创作方法，能够独立设计制作兼具柳州民俗文化特色与潮玩风格的原创彩塑作品，具备初步的IP开发与市场推广意识，树立传承与创新柳州地域文化的理念。</w:t>
            </w:r>
          </w:p>
        </w:tc>
        <w:tc>
          <w:tcPr>
            <w:tcW w:w="604" w:type="pct"/>
            <w:tcMar>
              <w:left w:w="108" w:type="dxa"/>
              <w:right w:w="108" w:type="dxa"/>
            </w:tcMar>
            <w:vAlign w:val="center"/>
          </w:tcPr>
          <w:p w14:paraId="3B32DE61">
            <w:pPr>
              <w:pStyle w:val="15"/>
              <w:keepNext w:val="0"/>
              <w:keepLines w:val="0"/>
              <w:pageBreakBefore w:val="0"/>
              <w:wordWrap/>
              <w:overflowPunct/>
              <w:topLinePunct w:val="0"/>
              <w:bidi w:val="0"/>
              <w:spacing w:line="540" w:lineRule="exact"/>
              <w:ind w:left="0" w:leftChars="0" w:firstLine="480" w:firstLineChars="200"/>
              <w:jc w:val="both"/>
              <w:rPr>
                <w:rFonts w:hint="default"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r w14:paraId="6C46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jc w:val="center"/>
        </w:trPr>
        <w:tc>
          <w:tcPr>
            <w:tcW w:w="902" w:type="pct"/>
            <w:tcMar>
              <w:left w:w="108" w:type="dxa"/>
              <w:right w:w="108" w:type="dxa"/>
            </w:tcMar>
            <w:vAlign w:val="center"/>
          </w:tcPr>
          <w:p w14:paraId="5896B9B6">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装饰浮雕</w:t>
            </w:r>
          </w:p>
        </w:tc>
        <w:tc>
          <w:tcPr>
            <w:tcW w:w="3493" w:type="pct"/>
            <w:tcMar>
              <w:left w:w="108" w:type="dxa"/>
              <w:right w:w="108" w:type="dxa"/>
            </w:tcMar>
            <w:vAlign w:val="center"/>
          </w:tcPr>
          <w:p w14:paraId="0820802B">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装饰浮雕概述、泥板浮雕的制作、石膏浮雕的制作；柳州地域民俗文化解析（如侗族鼓楼建筑特色、风雨桥廊桥造型、壮族歌圩场景、螺蛳粉饮食文化符号等），柳州民俗元素转化为浮雕语言的方法（包括地域符号提炼、民俗场景的浮雕构图设计、传统纹样的浮雕表现技法）。</w:t>
            </w:r>
          </w:p>
          <w:p w14:paraId="43FA799F">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教学要求：学生了解装饰浮雕的发源、传承及演变；掌握泥塑浮雕造型特点、装饰手法、工具使用、制作过程；同时深入理解柳州地域民俗文化内涵，熟练掌握柳州特色元素与浮雕工艺的融合创作技法。</w:t>
            </w:r>
          </w:p>
        </w:tc>
        <w:tc>
          <w:tcPr>
            <w:tcW w:w="604" w:type="pct"/>
            <w:tcMar>
              <w:left w:w="108" w:type="dxa"/>
              <w:right w:w="108" w:type="dxa"/>
            </w:tcMar>
            <w:vAlign w:val="center"/>
          </w:tcPr>
          <w:p w14:paraId="30ABA3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r w14:paraId="3323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7" w:hRule="atLeast"/>
          <w:jc w:val="center"/>
        </w:trPr>
        <w:tc>
          <w:tcPr>
            <w:tcW w:w="902" w:type="pct"/>
            <w:tcMar>
              <w:left w:w="108" w:type="dxa"/>
              <w:right w:w="108" w:type="dxa"/>
            </w:tcMar>
            <w:vAlign w:val="center"/>
          </w:tcPr>
          <w:p w14:paraId="1DA59185">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刻瓷</w:t>
            </w:r>
          </w:p>
        </w:tc>
        <w:tc>
          <w:tcPr>
            <w:tcW w:w="3493" w:type="pct"/>
            <w:tcMar>
              <w:left w:w="108" w:type="dxa"/>
              <w:right w:w="108" w:type="dxa"/>
            </w:tcMar>
            <w:vAlign w:val="top"/>
          </w:tcPr>
          <w:p w14:paraId="275D8730">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刻瓷技能认知，瓷盘的技艺表现方法（点刻法、线刻法、面刻法、椎体针、斜口针的运用），新增广西壮、苗、瑶、侗等少数民族传统图案纹样的文化内涵、造型特征解析，以及将少数民族纹样转化适配刻瓷工艺的方法，包括纹样简化提炼、线条适配调整、刀法对应运用等内容；</w:t>
            </w:r>
          </w:p>
          <w:p w14:paraId="521BF082">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掌握构图的基本知识与基本规律，了解形式美法则在构图中的运用，提高审美能力，熟练掌握刻瓷知识、手法刀法与技巧，同时深入理解少数民族图案纹样的文化寓意与艺术特色，能精准提炼纹样核心元素并融入刻瓷创作，独立完成兼具刻瓷工艺质感与少数民族文化韵味的原创刻瓷作品。</w:t>
            </w:r>
          </w:p>
        </w:tc>
        <w:tc>
          <w:tcPr>
            <w:tcW w:w="604" w:type="pct"/>
            <w:tcMar>
              <w:left w:w="108" w:type="dxa"/>
              <w:right w:w="108" w:type="dxa"/>
            </w:tcMar>
            <w:vAlign w:val="center"/>
          </w:tcPr>
          <w:p w14:paraId="70E99E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r w14:paraId="0A7C0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jc w:val="center"/>
        </w:trPr>
        <w:tc>
          <w:tcPr>
            <w:tcW w:w="902" w:type="pct"/>
            <w:tcMar>
              <w:left w:w="108" w:type="dxa"/>
              <w:right w:w="108" w:type="dxa"/>
            </w:tcMar>
            <w:vAlign w:val="center"/>
          </w:tcPr>
          <w:p w14:paraId="574FF9EB">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手工编结</w:t>
            </w:r>
          </w:p>
        </w:tc>
        <w:tc>
          <w:tcPr>
            <w:tcW w:w="3493" w:type="pct"/>
            <w:tcMar>
              <w:left w:w="108" w:type="dxa"/>
              <w:right w:w="108" w:type="dxa"/>
            </w:tcMar>
            <w:vAlign w:val="top"/>
          </w:tcPr>
          <w:p w14:paraId="0D8CEF45">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教学内容：手工编结艺术的概述；手工编结设计与制作。</w:t>
            </w:r>
          </w:p>
          <w:p w14:paraId="0A68E56E">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教学要求：感受手工编结艺术的审美特征及其文化内涵，丰富自身的审美体验；掌握手工编结艺术的主要特征；掌握手工编结艺术设计的方法及工艺制作要点。</w:t>
            </w:r>
          </w:p>
        </w:tc>
        <w:tc>
          <w:tcPr>
            <w:tcW w:w="604" w:type="pct"/>
            <w:tcMar>
              <w:left w:w="108" w:type="dxa"/>
              <w:right w:w="108" w:type="dxa"/>
            </w:tcMar>
            <w:vAlign w:val="center"/>
          </w:tcPr>
          <w:p w14:paraId="520749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80</w:t>
            </w:r>
          </w:p>
        </w:tc>
      </w:tr>
      <w:tr w14:paraId="5FB1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902" w:type="pct"/>
            <w:tcMar>
              <w:left w:w="108" w:type="dxa"/>
              <w:right w:w="108" w:type="dxa"/>
            </w:tcMar>
            <w:vAlign w:val="center"/>
          </w:tcPr>
          <w:p w14:paraId="76E8DCA1">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国画</w:t>
            </w:r>
          </w:p>
        </w:tc>
        <w:tc>
          <w:tcPr>
            <w:tcW w:w="3493" w:type="pct"/>
            <w:tcMar>
              <w:left w:w="108" w:type="dxa"/>
              <w:right w:w="108" w:type="dxa"/>
            </w:tcMar>
            <w:vAlign w:val="top"/>
          </w:tcPr>
          <w:p w14:paraId="5FBE9189">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白描花卉技法解析；花卉写生初阶步骤示范；禽鸟基础技法与绘制流程；草虫结构、习性及绘画技法讲解；各类花卉写生启发深入；工笔人物画基本特征；人物画绘制技法；写意人物画技法；动物绘制方法。</w:t>
            </w:r>
          </w:p>
          <w:p w14:paraId="24C4E98F">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教学要求：初步掌握各类重淡花卉设色步骤与技法；培养对自然花卉、禽鸟的观察分析能力；了解中国人物、动物工笔画的基本技法；掌握人物写意画法。</w:t>
            </w:r>
          </w:p>
        </w:tc>
        <w:tc>
          <w:tcPr>
            <w:tcW w:w="604" w:type="pct"/>
            <w:tcMar>
              <w:left w:w="108" w:type="dxa"/>
              <w:right w:w="108" w:type="dxa"/>
            </w:tcMar>
            <w:vAlign w:val="center"/>
          </w:tcPr>
          <w:p w14:paraId="4CF4A5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80</w:t>
            </w:r>
          </w:p>
        </w:tc>
      </w:tr>
      <w:tr w14:paraId="6A0B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09" w:hRule="atLeast"/>
          <w:jc w:val="center"/>
        </w:trPr>
        <w:tc>
          <w:tcPr>
            <w:tcW w:w="902" w:type="pct"/>
            <w:tcMar>
              <w:left w:w="108" w:type="dxa"/>
              <w:right w:w="108" w:type="dxa"/>
            </w:tcMar>
            <w:vAlign w:val="center"/>
          </w:tcPr>
          <w:p w14:paraId="0CD7B62B">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漆艺</w:t>
            </w:r>
          </w:p>
        </w:tc>
        <w:tc>
          <w:tcPr>
            <w:tcW w:w="3493" w:type="pct"/>
            <w:tcMar>
              <w:left w:w="108" w:type="dxa"/>
              <w:right w:w="108" w:type="dxa"/>
            </w:tcMar>
            <w:vAlign w:val="top"/>
          </w:tcPr>
          <w:p w14:paraId="369E88BF">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漆艺的基本知识，材料与工具的认知与使用，漆艺的表现手法与制作方法，风格与创意的培养；新增广西壮、苗、瑶、侗等少数民族传统纹样的文化内涵解析，少数民族民俗风情画面的提炼与转化方法，以及将这些民族元素融入漆画创作、漆立体造型的实操指导内容。</w:t>
            </w:r>
          </w:p>
          <w:p w14:paraId="5FE559AA">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熟悉漆艺工艺的基础理论知识，在传统漆画工艺与漆立体工艺实践操作中初步掌握漆画与漆立体工艺的材料特性、工艺技法表现方法；同时深入理解广西少数民族纹样的文化寓意与民俗风情的精神内核，能够精准提炼民族视觉元素并创新性地融入漆艺创作，树立传承与创新民族漆艺文化的意识。</w:t>
            </w:r>
          </w:p>
        </w:tc>
        <w:tc>
          <w:tcPr>
            <w:tcW w:w="604" w:type="pct"/>
            <w:tcMar>
              <w:left w:w="108" w:type="dxa"/>
              <w:right w:w="108" w:type="dxa"/>
            </w:tcMar>
            <w:vAlign w:val="center"/>
          </w:tcPr>
          <w:p w14:paraId="487D85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r w14:paraId="04CF3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4" w:hRule="atLeast"/>
          <w:jc w:val="center"/>
        </w:trPr>
        <w:tc>
          <w:tcPr>
            <w:tcW w:w="902" w:type="pct"/>
            <w:tcMar>
              <w:left w:w="108" w:type="dxa"/>
              <w:right w:w="108" w:type="dxa"/>
            </w:tcMar>
            <w:vAlign w:val="center"/>
          </w:tcPr>
          <w:p w14:paraId="064F68E2">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泥塑</w:t>
            </w:r>
          </w:p>
        </w:tc>
        <w:tc>
          <w:tcPr>
            <w:tcW w:w="3493" w:type="pct"/>
            <w:tcMar>
              <w:left w:w="108" w:type="dxa"/>
              <w:right w:w="108" w:type="dxa"/>
            </w:tcMar>
            <w:vAlign w:val="top"/>
          </w:tcPr>
          <w:p w14:paraId="3E329964">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泥塑的概述、泥塑头像的制作技法，新增广西少数民族民俗泥塑文化解析（如壮族布洛陀传说形象、苗族祭祀泥塑、侗族鼓楼泥塑摆件等民俗题材），潮玩泥塑的风格特点、Q版造型设计方法、IP化创作思路，以及民俗元素与潮玩风格融合的创作技法，包括民俗符号提炼、潮玩造型转化、色彩搭配技巧等内容；</w:t>
            </w:r>
          </w:p>
          <w:p w14:paraId="734194D8">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了解泥塑概念、雕塑的历史、种类、设计、制作、空间表现手法及造型特点等知识，深入理解广西少数民族民俗文化内涵与潮玩市场审美需求，熟练掌握泥塑设计与制作技法，掌握民俗元素提炼与潮玩造型转化的创作方法，具备开发小型装饰雕塑旅游工艺品的能力，同时能够独立设计制作兼具民俗文化特色与潮玩风格的原创泥塑作品，具备初步的IP开发与市场推广意识。</w:t>
            </w:r>
          </w:p>
        </w:tc>
        <w:tc>
          <w:tcPr>
            <w:tcW w:w="604" w:type="pct"/>
            <w:tcMar>
              <w:left w:w="108" w:type="dxa"/>
              <w:right w:w="108" w:type="dxa"/>
            </w:tcMar>
            <w:vAlign w:val="center"/>
          </w:tcPr>
          <w:p w14:paraId="0D6419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r w14:paraId="511F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5" w:hRule="atLeast"/>
          <w:jc w:val="center"/>
        </w:trPr>
        <w:tc>
          <w:tcPr>
            <w:tcW w:w="902" w:type="pct"/>
            <w:tcMar>
              <w:left w:w="108" w:type="dxa"/>
              <w:right w:w="108" w:type="dxa"/>
            </w:tcMar>
            <w:vAlign w:val="center"/>
          </w:tcPr>
          <w:p w14:paraId="7431B2AB">
            <w:pPr>
              <w:pStyle w:val="15"/>
              <w:keepNext w:val="0"/>
              <w:keepLines w:val="0"/>
              <w:pageBreakBefore w:val="0"/>
              <w:wordWrap/>
              <w:overflowPunct/>
              <w:topLinePunct w:val="0"/>
              <w:bidi w:val="0"/>
              <w:spacing w:line="540" w:lineRule="exact"/>
              <w:ind w:left="0" w:leftChars="0" w:right="101" w:rightChars="0" w:firstLine="0" w:firstLineChars="0"/>
              <w:jc w:val="center"/>
              <w:rPr>
                <w:rFonts w:hint="eastAsia" w:ascii="仿宋_GB2312" w:hAnsi="仿宋_GB2312" w:eastAsia="仿宋_GB2312" w:cs="仿宋_GB2312"/>
                <w:color w:val="auto"/>
                <w:kern w:val="2"/>
                <w:sz w:val="24"/>
                <w:szCs w:val="24"/>
                <w:lang w:val="en-US" w:eastAsia="zh-CN" w:bidi="ar-SA"/>
              </w:rPr>
            </w:pPr>
            <w:r>
              <w:rPr>
                <w:rFonts w:hint="eastAsia" w:ascii="Times New Roman" w:hAnsi="Times New Roman" w:eastAsia="仿宋_GB2312" w:cs="Times New Roman"/>
                <w:i w:val="0"/>
                <w:iCs w:val="0"/>
                <w:snapToGrid w:val="0"/>
                <w:color w:val="000000"/>
                <w:kern w:val="0"/>
                <w:sz w:val="24"/>
                <w:szCs w:val="24"/>
                <w:u w:val="none"/>
                <w:lang w:val="en-US" w:eastAsia="zh-CN" w:bidi="ar"/>
              </w:rPr>
              <w:t>木雕</w:t>
            </w:r>
          </w:p>
        </w:tc>
        <w:tc>
          <w:tcPr>
            <w:tcW w:w="3493" w:type="pct"/>
            <w:tcMar>
              <w:left w:w="108" w:type="dxa"/>
              <w:right w:w="108" w:type="dxa"/>
            </w:tcMar>
            <w:vAlign w:val="top"/>
          </w:tcPr>
          <w:p w14:paraId="57AE6482">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内容：涵盖木雕的基本知识，选材与工具，木雕的表现手法与制作方法，风格与创意；柳州地域特色文化元素解析，柳州特色木雕潮玩、摆件的设计思路，柳州本地木材特性与潮玩摆件制作的适配技巧，以及地域元素融入木雕创作的实操指导内容。</w:t>
            </w:r>
          </w:p>
          <w:p w14:paraId="52B7C2EC">
            <w:pPr>
              <w:keepNext w:val="0"/>
              <w:keepLines w:val="0"/>
              <w:pageBreakBefore w:val="0"/>
              <w:widowControl w:val="0"/>
              <w:kinsoku/>
              <w:wordWrap/>
              <w:overflowPunct/>
              <w:topLinePunct w:val="0"/>
              <w:autoSpaceDE/>
              <w:autoSpaceDN/>
              <w:bidi w:val="0"/>
              <w:adjustRightInd/>
              <w:snapToGrid/>
              <w:spacing w:line="540" w:lineRule="exact"/>
              <w:ind w:left="0" w:leftChars="0" w:firstLine="480" w:firstLineChars="200"/>
              <w:jc w:val="left"/>
              <w:textAlignment w:val="auto"/>
              <w:rPr>
                <w:rFonts w:hint="default" w:ascii="Times New Roman" w:hAnsi="Times New Roman" w:eastAsia="仿宋_GB2312" w:cs="Times New Roman"/>
                <w:i w:val="0"/>
                <w:iCs w:val="0"/>
                <w:snapToGrid w:val="0"/>
                <w:color w:val="000000"/>
                <w:kern w:val="0"/>
                <w:sz w:val="24"/>
                <w:szCs w:val="24"/>
                <w:u w:val="none"/>
                <w:lang w:val="en-US" w:eastAsia="zh-CN" w:bidi="ar"/>
              </w:rPr>
            </w:pPr>
            <w:r>
              <w:rPr>
                <w:rFonts w:hint="eastAsia" w:ascii="仿宋_GB2312" w:hAnsi="仿宋_GB2312" w:eastAsia="仿宋_GB2312" w:cs="仿宋_GB2312"/>
                <w:color w:val="auto"/>
                <w:kern w:val="2"/>
                <w:sz w:val="24"/>
                <w:szCs w:val="24"/>
                <w:lang w:val="en-US" w:eastAsia="zh-CN" w:bidi="ar-SA"/>
              </w:rPr>
              <w:t>教学要求：学生掌握木雕的基本概念、基本知识、基本原理和基本方法，培养与提高分析形体与整体性思维的能力，提高和发展视觉空间思维能力和造型素质，提升从事雕塑制作与表现的能力；同时深入理解柳州地域文化内涵，熟练掌握柳州特色元素与木雕工艺的融合创作技法，能够独立设计制作兼具柳州地域特色的木雕潮玩、摆件作品，提升针对潮玩、摆件品类的精细化雕刻能力。</w:t>
            </w:r>
          </w:p>
        </w:tc>
        <w:tc>
          <w:tcPr>
            <w:tcW w:w="604" w:type="pct"/>
            <w:tcMar>
              <w:left w:w="108" w:type="dxa"/>
              <w:right w:w="108" w:type="dxa"/>
            </w:tcMar>
            <w:vAlign w:val="center"/>
          </w:tcPr>
          <w:p w14:paraId="3863AF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仿宋_GB2312" w:hAnsi="仿宋_GB2312" w:eastAsia="仿宋_GB2312" w:cs="仿宋_GB2312"/>
                <w:color w:val="auto"/>
                <w:spacing w:val="-1"/>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60</w:t>
            </w:r>
          </w:p>
        </w:tc>
      </w:tr>
    </w:tbl>
    <w:p w14:paraId="25290637"/>
    <w:p w14:paraId="04244898">
      <w:pPr>
        <w:pStyle w:val="4"/>
        <w:bidi w:val="0"/>
        <w:rPr>
          <w:rFonts w:hint="eastAsia"/>
        </w:rPr>
      </w:pPr>
      <w:r>
        <w:rPr>
          <w:rFonts w:hint="eastAsia"/>
        </w:rPr>
        <w:t>4.综合实训课程设置及要求</w:t>
      </w:r>
    </w:p>
    <w:tbl>
      <w:tblPr>
        <w:tblStyle w:val="16"/>
        <w:tblW w:w="5125"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15"/>
        <w:gridCol w:w="6951"/>
        <w:gridCol w:w="1230"/>
      </w:tblGrid>
      <w:tr w14:paraId="0AEA9A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jc w:val="center"/>
        </w:trPr>
        <w:tc>
          <w:tcPr>
            <w:tcW w:w="908" w:type="pct"/>
            <w:vAlign w:val="center"/>
          </w:tcPr>
          <w:p w14:paraId="4FFB50FA">
            <w:pPr>
              <w:pStyle w:val="15"/>
              <w:keepNext w:val="0"/>
              <w:keepLines w:val="0"/>
              <w:pageBreakBefore w:val="0"/>
              <w:wordWrap/>
              <w:overflowPunct/>
              <w:topLinePunct w:val="0"/>
              <w:bidi w:val="0"/>
              <w:spacing w:line="540" w:lineRule="exact"/>
              <w:ind w:left="0" w:lef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课程名称</w:t>
            </w:r>
          </w:p>
        </w:tc>
        <w:tc>
          <w:tcPr>
            <w:tcW w:w="3476" w:type="pct"/>
            <w:vAlign w:val="center"/>
          </w:tcPr>
          <w:p w14:paraId="7FFFE7BD">
            <w:pPr>
              <w:pStyle w:val="15"/>
              <w:keepNext w:val="0"/>
              <w:keepLines w:val="0"/>
              <w:pageBreakBefore w:val="0"/>
              <w:wordWrap/>
              <w:overflowPunct/>
              <w:topLinePunct w:val="0"/>
              <w:bidi w:val="0"/>
              <w:spacing w:line="540" w:lineRule="exact"/>
              <w:ind w:lef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4"/>
                <w:sz w:val="24"/>
                <w:szCs w:val="24"/>
              </w:rPr>
              <w:t>主要教学内容和要求</w:t>
            </w:r>
          </w:p>
        </w:tc>
        <w:tc>
          <w:tcPr>
            <w:tcW w:w="615" w:type="pct"/>
            <w:vAlign w:val="center"/>
          </w:tcPr>
          <w:p w14:paraId="23135F19">
            <w:pPr>
              <w:pStyle w:val="15"/>
              <w:keepNext w:val="0"/>
              <w:keepLines w:val="0"/>
              <w:pageBreakBefore w:val="0"/>
              <w:wordWrap/>
              <w:overflowPunct/>
              <w:topLinePunct w:val="0"/>
              <w:bidi w:val="0"/>
              <w:spacing w:line="540" w:lineRule="exact"/>
              <w:ind w:left="0" w:leftChars="0" w:firstLine="0" w:firstLineChars="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7"/>
                <w:sz w:val="24"/>
                <w:szCs w:val="24"/>
              </w:rPr>
              <w:t>计划</w:t>
            </w:r>
            <w:r>
              <w:rPr>
                <w:rFonts w:hint="eastAsia" w:ascii="仿宋_GB2312" w:hAnsi="仿宋_GB2312" w:eastAsia="仿宋_GB2312" w:cs="仿宋_GB2312"/>
                <w:b/>
                <w:bCs/>
                <w:color w:val="auto"/>
                <w:spacing w:val="-9"/>
                <w:sz w:val="24"/>
                <w:szCs w:val="24"/>
              </w:rPr>
              <w:t>学时</w:t>
            </w:r>
          </w:p>
        </w:tc>
      </w:tr>
      <w:tr w14:paraId="7A936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2" w:hRule="atLeast"/>
          <w:jc w:val="center"/>
        </w:trPr>
        <w:tc>
          <w:tcPr>
            <w:tcW w:w="908" w:type="pct"/>
            <w:vAlign w:val="center"/>
          </w:tcPr>
          <w:p w14:paraId="02EE6838">
            <w:pPr>
              <w:pStyle w:val="15"/>
              <w:keepNext w:val="0"/>
              <w:keepLines w:val="0"/>
              <w:pageBreakBefore w:val="0"/>
              <w:wordWrap/>
              <w:overflowPunct/>
              <w:topLinePunct w:val="0"/>
              <w:bidi w:val="0"/>
              <w:spacing w:line="540" w:lineRule="exact"/>
              <w:ind w:left="0" w:leftChars="0" w:right="101" w:firstLine="0" w:firstLineChars="0"/>
              <w:jc w:val="center"/>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pacing w:val="-7"/>
                <w:sz w:val="24"/>
                <w:szCs w:val="24"/>
                <w:lang w:val="en-US" w:eastAsia="zh-CN"/>
              </w:rPr>
              <w:t>毕业设计</w:t>
            </w:r>
          </w:p>
        </w:tc>
        <w:tc>
          <w:tcPr>
            <w:tcW w:w="3476" w:type="pct"/>
            <w:vAlign w:val="top"/>
          </w:tcPr>
          <w:p w14:paraId="2644B28F">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lang w:val="en-US" w:eastAsia="zh-CN"/>
              </w:rPr>
              <w:t>教学内容：</w:t>
            </w:r>
            <w:r>
              <w:rPr>
                <w:rFonts w:hint="eastAsia" w:ascii="仿宋_GB2312" w:hAnsi="仿宋_GB2312" w:eastAsia="仿宋_GB2312" w:cs="仿宋_GB2312"/>
                <w:color w:val="auto"/>
                <w:spacing w:val="-7"/>
                <w:sz w:val="24"/>
                <w:szCs w:val="24"/>
              </w:rPr>
              <w:t>结合陶艺、</w:t>
            </w:r>
            <w:r>
              <w:rPr>
                <w:rFonts w:hint="eastAsia" w:ascii="仿宋_GB2312" w:hAnsi="仿宋_GB2312" w:eastAsia="仿宋_GB2312" w:cs="仿宋_GB2312"/>
                <w:color w:val="auto"/>
                <w:spacing w:val="-7"/>
                <w:sz w:val="24"/>
                <w:szCs w:val="24"/>
                <w:lang w:val="en-US" w:eastAsia="zh-CN"/>
              </w:rPr>
              <w:t>玉雕</w:t>
            </w:r>
            <w:r>
              <w:rPr>
                <w:rFonts w:hint="eastAsia" w:ascii="仿宋_GB2312" w:hAnsi="仿宋_GB2312" w:eastAsia="仿宋_GB2312" w:cs="仿宋_GB2312"/>
                <w:color w:val="auto"/>
                <w:spacing w:val="-7"/>
                <w:sz w:val="24"/>
                <w:szCs w:val="24"/>
              </w:rPr>
              <w:t>、民间印染等专业方向进行选题与方案设计；运用装饰画、文创设计等核心知识开展作品创意设计、材料选择与工艺实现，攻克传统技艺与现代设计融合的技术难点。</w:t>
            </w:r>
          </w:p>
          <w:p w14:paraId="028DFD06">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lang w:eastAsia="zh-CN"/>
              </w:rPr>
            </w:pPr>
            <w:r>
              <w:rPr>
                <w:rFonts w:hint="eastAsia" w:ascii="仿宋_GB2312" w:hAnsi="仿宋_GB2312" w:eastAsia="仿宋_GB2312" w:cs="仿宋_GB2312"/>
                <w:color w:val="auto"/>
                <w:spacing w:val="-7"/>
                <w:sz w:val="24"/>
                <w:szCs w:val="24"/>
              </w:rPr>
              <w:t>教学要求学生掌握毕业设计全流程规范，独立运用至少2项专业核心技能，在作品中体现工匠精神与创新思维，提交实物作品、设计说明书及过程性资料</w:t>
            </w:r>
            <w:r>
              <w:rPr>
                <w:rFonts w:hint="eastAsia" w:ascii="仿宋_GB2312" w:hAnsi="仿宋_GB2312" w:eastAsia="仿宋_GB2312" w:cs="仿宋_GB2312"/>
                <w:color w:val="auto"/>
                <w:spacing w:val="-7"/>
                <w:sz w:val="24"/>
                <w:szCs w:val="24"/>
                <w:lang w:eastAsia="zh-CN"/>
              </w:rPr>
              <w:t>。</w:t>
            </w:r>
          </w:p>
        </w:tc>
        <w:tc>
          <w:tcPr>
            <w:tcW w:w="615" w:type="pct"/>
            <w:vAlign w:val="center"/>
          </w:tcPr>
          <w:p w14:paraId="62512BE1">
            <w:pPr>
              <w:pStyle w:val="15"/>
              <w:keepNext w:val="0"/>
              <w:keepLines w:val="0"/>
              <w:pageBreakBefore w:val="0"/>
              <w:wordWrap/>
              <w:overflowPunct/>
              <w:topLinePunct w:val="0"/>
              <w:bidi w:val="0"/>
              <w:spacing w:line="540" w:lineRule="exact"/>
              <w:ind w:left="0" w:leftChars="0" w:firstLine="0" w:firstLineChars="0"/>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pacing w:val="-6"/>
                <w:position w:val="1"/>
                <w:sz w:val="24"/>
                <w:szCs w:val="24"/>
                <w:lang w:val="en-US" w:eastAsia="zh-CN"/>
              </w:rPr>
              <w:t>120</w:t>
            </w:r>
          </w:p>
        </w:tc>
      </w:tr>
      <w:tr w14:paraId="59A68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jc w:val="center"/>
        </w:trPr>
        <w:tc>
          <w:tcPr>
            <w:tcW w:w="908" w:type="pct"/>
            <w:vAlign w:val="center"/>
          </w:tcPr>
          <w:p w14:paraId="7BD80CD3">
            <w:pPr>
              <w:pStyle w:val="15"/>
              <w:keepNext w:val="0"/>
              <w:keepLines w:val="0"/>
              <w:pageBreakBefore w:val="0"/>
              <w:wordWrap/>
              <w:overflowPunct/>
              <w:topLinePunct w:val="0"/>
              <w:bidi w:val="0"/>
              <w:spacing w:line="540" w:lineRule="exact"/>
              <w:ind w:left="0" w:leftChars="0" w:firstLine="0" w:firstLineChars="0"/>
              <w:jc w:val="center"/>
              <w:rPr>
                <w:rFonts w:hint="eastAsia" w:ascii="仿宋_GB2312" w:hAnsi="仿宋_GB2312" w:eastAsia="仿宋_GB2312" w:cs="仿宋_GB2312"/>
                <w:color w:val="auto"/>
                <w:sz w:val="24"/>
                <w:szCs w:val="24"/>
              </w:rPr>
            </w:pPr>
            <w:bookmarkStart w:id="24" w:name="OLE_LINK19"/>
            <w:r>
              <w:rPr>
                <w:rFonts w:hint="eastAsia" w:ascii="仿宋_GB2312" w:hAnsi="仿宋_GB2312" w:eastAsia="仿宋_GB2312" w:cs="仿宋_GB2312"/>
                <w:color w:val="auto"/>
                <w:spacing w:val="-8"/>
                <w:sz w:val="24"/>
                <w:szCs w:val="24"/>
              </w:rPr>
              <w:t>岗位实习</w:t>
            </w:r>
            <w:bookmarkEnd w:id="24"/>
          </w:p>
        </w:tc>
        <w:tc>
          <w:tcPr>
            <w:tcW w:w="3476" w:type="pct"/>
            <w:vAlign w:val="top"/>
          </w:tcPr>
          <w:p w14:paraId="47A4D72C">
            <w:pPr>
              <w:pStyle w:val="15"/>
              <w:keepNext w:val="0"/>
              <w:keepLines w:val="0"/>
              <w:pageBreakBefore w:val="0"/>
              <w:widowControl w:val="0"/>
              <w:kinsoku/>
              <w:wordWrap/>
              <w:overflowPunct/>
              <w:topLinePunct w:val="0"/>
              <w:autoSpaceDE/>
              <w:autoSpaceDN/>
              <w:bidi w:val="0"/>
              <w:adjustRightInd/>
              <w:snapToGrid/>
              <w:spacing w:line="540" w:lineRule="exact"/>
              <w:ind w:left="0" w:right="0" w:firstLine="452" w:firstLineChars="200"/>
              <w:textAlignment w:val="auto"/>
              <w:rPr>
                <w:rFonts w:hint="eastAsia" w:ascii="仿宋_GB2312" w:hAnsi="仿宋_GB2312" w:eastAsia="仿宋_GB2312" w:cs="仿宋_GB2312"/>
                <w:color w:val="auto"/>
                <w:spacing w:val="-7"/>
                <w:sz w:val="24"/>
                <w:szCs w:val="24"/>
              </w:rPr>
            </w:pPr>
            <w:r>
              <w:rPr>
                <w:rFonts w:hint="eastAsia" w:ascii="仿宋_GB2312" w:hAnsi="仿宋_GB2312" w:eastAsia="仿宋_GB2312" w:cs="仿宋_GB2312"/>
                <w:color w:val="auto"/>
                <w:spacing w:val="-7"/>
                <w:sz w:val="24"/>
                <w:szCs w:val="24"/>
              </w:rPr>
              <w:t>能将自己的理论知识应用于实践，到企（事）业等用人单位的实际工作岗位进行的实习，单独参加专题活动，相对独立地从事某岗位的具体工作。</w:t>
            </w:r>
          </w:p>
        </w:tc>
        <w:tc>
          <w:tcPr>
            <w:tcW w:w="615" w:type="pct"/>
            <w:vAlign w:val="center"/>
          </w:tcPr>
          <w:p w14:paraId="2A8CF4B7">
            <w:pPr>
              <w:keepNext w:val="0"/>
              <w:keepLines w:val="0"/>
              <w:pageBreakBefore w:val="0"/>
              <w:wordWrap/>
              <w:overflowPunct/>
              <w:topLinePunct w:val="0"/>
              <w:bidi w:val="0"/>
              <w:spacing w:line="540" w:lineRule="exact"/>
              <w:ind w:left="0" w:leftChars="0" w:firstLine="0" w:firstLineChars="0"/>
              <w:jc w:val="center"/>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pacing w:val="-5"/>
                <w:position w:val="1"/>
                <w:sz w:val="24"/>
                <w:szCs w:val="24"/>
                <w:lang w:val="en-US" w:eastAsia="zh-CN"/>
              </w:rPr>
              <w:t>600</w:t>
            </w:r>
          </w:p>
        </w:tc>
      </w:tr>
    </w:tbl>
    <w:p w14:paraId="1CA1392A">
      <w:pPr>
        <w:pStyle w:val="2"/>
        <w:bidi w:val="0"/>
        <w:rPr>
          <w:rFonts w:hint="eastAsia"/>
          <w:lang w:val="en-US" w:eastAsia="zh-CN"/>
        </w:rPr>
      </w:pPr>
      <w:bookmarkStart w:id="25" w:name="_Toc30437"/>
      <w:r>
        <w:rPr>
          <w:rFonts w:hint="eastAsia"/>
        </w:rPr>
        <w:t>七、</w:t>
      </w:r>
      <w:r>
        <w:rPr>
          <w:rFonts w:hint="eastAsia"/>
          <w:lang w:val="en-US" w:eastAsia="zh-CN"/>
        </w:rPr>
        <w:t>教学进程总体安排</w:t>
      </w:r>
      <w:bookmarkEnd w:id="25"/>
    </w:p>
    <w:p w14:paraId="6993573E">
      <w:pPr>
        <w:pStyle w:val="3"/>
        <w:bidi w:val="0"/>
        <w:rPr>
          <w:rFonts w:hint="eastAsia"/>
          <w:lang w:val="en-US" w:eastAsia="zh-CN"/>
        </w:rPr>
      </w:pPr>
      <w:bookmarkStart w:id="26" w:name="_Toc7561"/>
      <w:r>
        <w:rPr>
          <w:rFonts w:hint="eastAsia"/>
          <w:lang w:eastAsia="zh-CN"/>
        </w:rPr>
        <w:t>（</w:t>
      </w:r>
      <w:r>
        <w:rPr>
          <w:rFonts w:hint="eastAsia"/>
          <w:lang w:val="en-US" w:eastAsia="zh-CN"/>
        </w:rPr>
        <w:t>一</w:t>
      </w:r>
      <w:r>
        <w:rPr>
          <w:rFonts w:hint="eastAsia"/>
          <w:lang w:eastAsia="zh-CN"/>
        </w:rPr>
        <w:t>）</w:t>
      </w:r>
      <w:r>
        <w:rPr>
          <w:rFonts w:hint="eastAsia"/>
          <w:lang w:val="en-US" w:eastAsia="zh-CN"/>
        </w:rPr>
        <w:t>基本要求</w:t>
      </w:r>
      <w:bookmarkEnd w:id="26"/>
    </w:p>
    <w:p w14:paraId="3EDD49A8">
      <w:pPr>
        <w:bidi w:val="0"/>
        <w:rPr>
          <w:rFonts w:hint="eastAsia"/>
        </w:rPr>
      </w:pPr>
      <w:r>
        <w:rPr>
          <w:rFonts w:hint="eastAsia"/>
        </w:rPr>
        <w:t>学年教学时间不少于 40 周，三年总学时数</w:t>
      </w:r>
      <w:r>
        <w:rPr>
          <w:rFonts w:hint="eastAsia"/>
          <w:lang w:val="en-US" w:eastAsia="zh-CN"/>
        </w:rPr>
        <w:t>3798学时</w:t>
      </w:r>
      <w:r>
        <w:rPr>
          <w:rFonts w:hint="eastAsia"/>
        </w:rPr>
        <w:t>，</w:t>
      </w:r>
      <w:r>
        <w:rPr>
          <w:rFonts w:hint="eastAsia"/>
          <w:lang w:val="en-US" w:eastAsia="zh-CN"/>
        </w:rPr>
        <w:t>岗位实习按每周30学时安排</w:t>
      </w:r>
      <w:r>
        <w:rPr>
          <w:rFonts w:hint="eastAsia"/>
        </w:rPr>
        <w:t>； 学分与学时的换算</w:t>
      </w:r>
      <w:r>
        <w:rPr>
          <w:rFonts w:hint="eastAsia"/>
          <w:lang w:eastAsia="zh-CN"/>
        </w:rPr>
        <w:t>：</w:t>
      </w:r>
      <w:r>
        <w:rPr>
          <w:rFonts w:hint="eastAsia"/>
          <w:lang w:val="en-US" w:eastAsia="zh-CN"/>
        </w:rPr>
        <w:t>一</w:t>
      </w:r>
      <w:r>
        <w:rPr>
          <w:rFonts w:hint="eastAsia"/>
        </w:rPr>
        <w:t>般 18 学时计为 1 个学分，总学分一般不少于 170 学分，军训、入学教育、社会实践、毕业设计（或毕业论文、毕业教育）等，以 1周为 1 学分。</w:t>
      </w:r>
    </w:p>
    <w:p w14:paraId="458D4B4A">
      <w:pPr>
        <w:bidi w:val="0"/>
        <w:rPr>
          <w:rFonts w:hint="eastAsia"/>
        </w:rPr>
      </w:pPr>
      <w:r>
        <w:rPr>
          <w:rFonts w:hint="eastAsia"/>
        </w:rPr>
        <w:t>公共基础课程学时一般占总学时的 1/3，必须保证学生修完公共基础必修课程的内容和总学时数。选修课教学时数占总学时的比例均应不少于 10%。</w:t>
      </w:r>
    </w:p>
    <w:p w14:paraId="7B943C98">
      <w:pPr>
        <w:bidi w:val="0"/>
        <w:rPr>
          <w:rFonts w:hint="eastAsia"/>
        </w:rPr>
      </w:pPr>
      <w:r>
        <w:rPr>
          <w:rFonts w:hint="eastAsia"/>
        </w:rPr>
        <w:t>学生顶岗实习一般为 6 个月，学校可根据实际情况，采取工学交替、多学期、分段式等多种形式组织实施。</w:t>
      </w:r>
    </w:p>
    <w:p w14:paraId="2AFDCF75">
      <w:pPr>
        <w:pStyle w:val="3"/>
        <w:bidi w:val="0"/>
        <w:rPr>
          <w:rFonts w:hint="eastAsia"/>
          <w:lang w:val="en-US" w:eastAsia="zh-CN"/>
        </w:rPr>
      </w:pPr>
      <w:bookmarkStart w:id="27" w:name="_Toc24742"/>
      <w:r>
        <w:rPr>
          <w:rFonts w:hint="eastAsia"/>
          <w:lang w:val="en-US" w:eastAsia="zh-CN"/>
        </w:rPr>
        <w:t>（二）教学安排建议</w:t>
      </w:r>
      <w:bookmarkEnd w:id="27"/>
    </w:p>
    <w:p w14:paraId="698649C8">
      <w:pPr>
        <w:pStyle w:val="4"/>
        <w:numPr>
          <w:ilvl w:val="0"/>
          <w:numId w:val="0"/>
        </w:numPr>
        <w:bidi w:val="0"/>
        <w:ind w:firstLine="643" w:firstLineChars="200"/>
        <w:rPr>
          <w:rFonts w:hint="eastAsia"/>
          <w:lang w:val="en-US" w:eastAsia="zh-CN"/>
        </w:rPr>
      </w:pPr>
      <w:r>
        <w:rPr>
          <w:rFonts w:hint="eastAsia" w:ascii="Times New Roman" w:hAnsi="Times New Roman" w:eastAsia="仿宋_GB2312" w:cs="Times New Roman"/>
          <w:b/>
          <w:bCs/>
          <w:kern w:val="0"/>
          <w:sz w:val="32"/>
          <w:szCs w:val="27"/>
          <w:lang w:val="en-US" w:eastAsia="zh-CN" w:bidi="ar"/>
        </w:rPr>
        <w:t>1.</w:t>
      </w:r>
      <w:r>
        <w:rPr>
          <w:rFonts w:hint="eastAsia"/>
          <w:lang w:val="en-US" w:eastAsia="zh-CN"/>
        </w:rPr>
        <w:t>教学活动时间总体分配</w:t>
      </w:r>
    </w:p>
    <w:tbl>
      <w:tblPr>
        <w:tblStyle w:val="11"/>
        <w:tblW w:w="9586" w:type="dxa"/>
        <w:tblInd w:w="19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20"/>
        <w:gridCol w:w="929"/>
        <w:gridCol w:w="929"/>
        <w:gridCol w:w="929"/>
        <w:gridCol w:w="929"/>
        <w:gridCol w:w="929"/>
        <w:gridCol w:w="930"/>
        <w:gridCol w:w="1391"/>
      </w:tblGrid>
      <w:tr w14:paraId="41E52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10C922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rPr>
            </w:pPr>
            <w:r>
              <w:rPr>
                <w:rFonts w:hint="eastAsia" w:ascii="仿宋_GB2312" w:hAnsi="仿宋_GB2312" w:eastAsia="仿宋_GB2312" w:cs="仿宋_GB2312"/>
                <w:b/>
                <w:color w:val="auto"/>
                <w:sz w:val="28"/>
                <w:szCs w:val="28"/>
                <w:lang w:eastAsia="zh-CN"/>
              </w:rPr>
              <w:t>学期</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EE0CE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一</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44E0F5DB">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二</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CCD310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三</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261E164">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四</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FAFA87A">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五</w:t>
            </w:r>
          </w:p>
        </w:tc>
        <w:tc>
          <w:tcPr>
            <w:tcW w:w="9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3459708">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六</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3A5AE1F7">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b/>
                <w:color w:val="auto"/>
                <w:sz w:val="28"/>
                <w:szCs w:val="28"/>
                <w:lang w:eastAsia="zh-CN"/>
              </w:rPr>
            </w:pPr>
            <w:r>
              <w:rPr>
                <w:rFonts w:hint="eastAsia" w:ascii="仿宋_GB2312" w:hAnsi="仿宋_GB2312" w:eastAsia="仿宋_GB2312" w:cs="仿宋_GB2312"/>
                <w:b/>
                <w:color w:val="auto"/>
                <w:sz w:val="28"/>
                <w:szCs w:val="28"/>
                <w:lang w:eastAsia="zh-CN"/>
              </w:rPr>
              <w:t>小计</w:t>
            </w:r>
          </w:p>
        </w:tc>
      </w:tr>
      <w:tr w14:paraId="52FF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AF44C6E">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军训</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CC6BC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7ADD2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358066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80C7D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1718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71BBD05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E9A3E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w:t>
            </w:r>
          </w:p>
        </w:tc>
      </w:tr>
      <w:tr w14:paraId="2F3C7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9EABA52">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课堂教学</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C5448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17</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7655D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559B1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19</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882CF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18</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07172E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3E6B82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EE5D0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84</w:t>
            </w:r>
          </w:p>
        </w:tc>
      </w:tr>
      <w:tr w14:paraId="674F8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6135E35">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劳动周/社会实践周</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6EE8B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0B1ED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044C8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15679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A0DB8A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4C4C1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D4B07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10</w:t>
            </w:r>
          </w:p>
        </w:tc>
      </w:tr>
      <w:tr w14:paraId="16CA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10807FB9">
            <w:pPr>
              <w:keepNext w:val="0"/>
              <w:keepLines w:val="0"/>
              <w:pageBreakBefore w:val="0"/>
              <w:widowControl w:val="0"/>
              <w:kinsoku/>
              <w:wordWrap/>
              <w:overflowPunct/>
              <w:topLinePunct w:val="0"/>
              <w:autoSpaceDE/>
              <w:autoSpaceDN/>
              <w:bidi w:val="0"/>
              <w:adjustRightInd/>
              <w:snapToGrid/>
              <w:spacing w:line="46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认识实习/岗位实习</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C439CE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4619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E40CB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927D7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4B775C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A1096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931DC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r>
      <w:tr w14:paraId="786F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23A32FAC">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机动</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60A08E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701512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64CF8F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5CD941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auto"/>
            <w:noWrap/>
            <w:vAlign w:val="center"/>
          </w:tcPr>
          <w:p w14:paraId="31087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930" w:type="dxa"/>
            <w:tcBorders>
              <w:top w:val="single" w:color="000000" w:sz="4" w:space="0"/>
              <w:left w:val="single" w:color="000000" w:sz="4" w:space="0"/>
              <w:bottom w:val="single" w:color="000000" w:sz="4" w:space="0"/>
              <w:right w:val="nil"/>
              <w:tl2br w:val="nil"/>
              <w:tr2bl w:val="nil"/>
            </w:tcBorders>
            <w:shd w:val="clear" w:color="auto" w:fill="auto"/>
            <w:noWrap/>
            <w:vAlign w:val="center"/>
          </w:tcPr>
          <w:p w14:paraId="0F1F85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A39B4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4</w:t>
            </w:r>
          </w:p>
        </w:tc>
      </w:tr>
      <w:tr w14:paraId="1F4F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62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895003F">
            <w:pPr>
              <w:keepNext w:val="0"/>
              <w:keepLines w:val="0"/>
              <w:pageBreakBefore w:val="0"/>
              <w:widowControl w:val="0"/>
              <w:kinsoku/>
              <w:wordWrap/>
              <w:overflowPunct/>
              <w:topLinePunct w:val="0"/>
              <w:autoSpaceDE/>
              <w:autoSpaceDN/>
              <w:bidi w:val="0"/>
              <w:adjustRightInd/>
              <w:snapToGrid/>
              <w:spacing w:line="540" w:lineRule="exact"/>
              <w:ind w:left="0" w:firstLine="0" w:firstLineChars="0"/>
              <w:jc w:val="center"/>
              <w:textAlignment w:val="center"/>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bidi="ar"/>
              </w:rPr>
              <w:t>合计</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15C32F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3C46B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645DD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70B6A9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29"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2634AD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930"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03B64F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20</w:t>
            </w:r>
          </w:p>
        </w:tc>
        <w:tc>
          <w:tcPr>
            <w:tcW w:w="1391" w:type="dxa"/>
            <w:tcBorders>
              <w:top w:val="single" w:color="000000" w:sz="4" w:space="0"/>
              <w:left w:val="single" w:color="000000" w:sz="4" w:space="0"/>
              <w:bottom w:val="single" w:color="000000" w:sz="4" w:space="0"/>
              <w:right w:val="single" w:color="000000" w:sz="4" w:space="0"/>
              <w:tl2br w:val="nil"/>
              <w:tr2bl w:val="nil"/>
            </w:tcBorders>
            <w:shd w:val="clear" w:color="auto" w:fill="D9E1F4"/>
            <w:noWrap/>
            <w:vAlign w:val="center"/>
          </w:tcPr>
          <w:p w14:paraId="5A71A2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120</w:t>
            </w:r>
          </w:p>
        </w:tc>
      </w:tr>
    </w:tbl>
    <w:p w14:paraId="407823BC">
      <w:pPr>
        <w:keepNext w:val="0"/>
        <w:keepLines w:val="0"/>
        <w:pageBreakBefore w:val="0"/>
        <w:numPr>
          <w:ilvl w:val="0"/>
          <w:numId w:val="0"/>
        </w:numPr>
        <w:wordWrap/>
        <w:overflowPunct/>
        <w:topLinePunct w:val="0"/>
        <w:bidi w:val="0"/>
        <w:spacing w:line="540" w:lineRule="exact"/>
        <w:ind w:left="0"/>
        <w:jc w:val="center"/>
        <w:rPr>
          <w:rFonts w:hint="eastAsia" w:ascii="仿宋_GB2312" w:hAnsi="仿宋_GB2312" w:eastAsia="仿宋_GB2312" w:cs="仿宋_GB2312"/>
          <w:snapToGrid w:val="0"/>
          <w:color w:val="auto"/>
          <w:spacing w:val="-1"/>
          <w:kern w:val="0"/>
          <w:sz w:val="30"/>
          <w:szCs w:val="30"/>
          <w:lang w:val="en-US" w:eastAsia="zh-CN" w:bidi="ar-SA"/>
        </w:rPr>
      </w:pPr>
      <w:r>
        <w:rPr>
          <w:rFonts w:hint="eastAsia" w:ascii="仿宋_GB2312" w:hAnsi="仿宋_GB2312" w:eastAsia="仿宋_GB2312" w:cs="仿宋_GB2312"/>
          <w:snapToGrid w:val="0"/>
          <w:color w:val="auto"/>
          <w:spacing w:val="-1"/>
          <w:kern w:val="0"/>
          <w:sz w:val="30"/>
          <w:szCs w:val="30"/>
          <w:lang w:val="en-US" w:eastAsia="zh-CN" w:bidi="ar-SA"/>
        </w:rPr>
        <w:t>专业教学活动周数分配表（教学进度安排表） 单位：周</w:t>
      </w:r>
    </w:p>
    <w:p w14:paraId="2A105D10">
      <w:pPr>
        <w:pStyle w:val="4"/>
        <w:bidi w:val="0"/>
        <w:rPr>
          <w:rFonts w:hint="eastAsia"/>
          <w:lang w:val="en-US" w:eastAsia="zh-CN"/>
        </w:rPr>
      </w:pPr>
      <w:r>
        <w:rPr>
          <w:rFonts w:hint="eastAsia"/>
          <w:lang w:val="en-US" w:eastAsia="zh-CN"/>
        </w:rPr>
        <w:t>2.专业各类课程学时分配</w:t>
      </w:r>
    </w:p>
    <w:tbl>
      <w:tblPr>
        <w:tblStyle w:val="11"/>
        <w:tblW w:w="961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40"/>
        <w:gridCol w:w="1110"/>
        <w:gridCol w:w="1625"/>
        <w:gridCol w:w="1380"/>
        <w:gridCol w:w="1335"/>
        <w:gridCol w:w="1524"/>
        <w:gridCol w:w="896"/>
      </w:tblGrid>
      <w:tr w14:paraId="08F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74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0FB06FA2">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课程</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类型</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D9E1F4"/>
            <w:vAlign w:val="center"/>
          </w:tcPr>
          <w:p w14:paraId="39E8847B">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公共</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基础课</w:t>
            </w:r>
          </w:p>
        </w:tc>
        <w:tc>
          <w:tcPr>
            <w:tcW w:w="5864" w:type="dxa"/>
            <w:gridSpan w:val="4"/>
            <w:tcBorders>
              <w:top w:val="single" w:color="000000" w:sz="4" w:space="0"/>
              <w:left w:val="single" w:color="000000" w:sz="4" w:space="0"/>
              <w:bottom w:val="single" w:color="000000" w:sz="4" w:space="0"/>
              <w:right w:val="single" w:color="000000" w:sz="4" w:space="0"/>
            </w:tcBorders>
            <w:shd w:val="clear" w:color="auto" w:fill="D9E1F4"/>
            <w:vAlign w:val="center"/>
          </w:tcPr>
          <w:p w14:paraId="47C3E702">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专业课</w:t>
            </w:r>
          </w:p>
        </w:tc>
        <w:tc>
          <w:tcPr>
            <w:tcW w:w="896" w:type="dxa"/>
            <w:vMerge w:val="restart"/>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39849C74">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合计</w:t>
            </w:r>
          </w:p>
        </w:tc>
      </w:tr>
      <w:tr w14:paraId="6914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0" w:hRule="atLeast"/>
          <w:jc w:val="center"/>
        </w:trPr>
        <w:tc>
          <w:tcPr>
            <w:tcW w:w="174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531FBCF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auto"/>
                <w:sz w:val="28"/>
                <w:szCs w:val="28"/>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D9E1F4"/>
            <w:vAlign w:val="center"/>
          </w:tcPr>
          <w:p w14:paraId="4F4A86B3">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auto"/>
                <w:sz w:val="28"/>
                <w:szCs w:val="28"/>
              </w:rPr>
            </w:pPr>
          </w:p>
        </w:tc>
        <w:tc>
          <w:tcPr>
            <w:tcW w:w="162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69AC5413">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基础课</w:t>
            </w:r>
          </w:p>
        </w:tc>
        <w:tc>
          <w:tcPr>
            <w:tcW w:w="1380"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1D5688CE">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核心课</w:t>
            </w:r>
          </w:p>
        </w:tc>
        <w:tc>
          <w:tcPr>
            <w:tcW w:w="1335" w:type="dxa"/>
            <w:tcBorders>
              <w:top w:val="single" w:color="000000" w:sz="4" w:space="0"/>
              <w:left w:val="single" w:color="000000" w:sz="4" w:space="0"/>
              <w:bottom w:val="single" w:color="000000" w:sz="4" w:space="0"/>
              <w:right w:val="single" w:color="000000" w:sz="4" w:space="0"/>
            </w:tcBorders>
            <w:shd w:val="clear" w:color="auto" w:fill="D9E1F4"/>
            <w:vAlign w:val="center"/>
          </w:tcPr>
          <w:p w14:paraId="05D1ECB6">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专业</w:t>
            </w:r>
            <w:r>
              <w:rPr>
                <w:rFonts w:hint="eastAsia" w:ascii="仿宋_GB2312" w:hAnsi="仿宋_GB2312" w:eastAsia="仿宋_GB2312" w:cs="仿宋_GB2312"/>
                <w:b/>
                <w:bCs/>
                <w:color w:val="auto"/>
                <w:sz w:val="28"/>
                <w:szCs w:val="28"/>
                <w:lang w:val="en-US" w:eastAsia="zh-CN"/>
              </w:rPr>
              <w:br w:type="textWrapping"/>
            </w:r>
            <w:r>
              <w:rPr>
                <w:rFonts w:hint="eastAsia" w:ascii="仿宋_GB2312" w:hAnsi="仿宋_GB2312" w:eastAsia="仿宋_GB2312" w:cs="仿宋_GB2312"/>
                <w:b/>
                <w:bCs/>
                <w:color w:val="auto"/>
                <w:sz w:val="28"/>
                <w:szCs w:val="28"/>
                <w:lang w:val="en-US" w:eastAsia="zh-CN"/>
              </w:rPr>
              <w:t>拓展课</w:t>
            </w:r>
          </w:p>
        </w:tc>
        <w:tc>
          <w:tcPr>
            <w:tcW w:w="1524" w:type="dxa"/>
            <w:tcBorders>
              <w:top w:val="single" w:color="000000" w:sz="4" w:space="0"/>
              <w:left w:val="single" w:color="000000" w:sz="4" w:space="0"/>
              <w:bottom w:val="single" w:color="000000" w:sz="4" w:space="0"/>
              <w:right w:val="nil"/>
            </w:tcBorders>
            <w:shd w:val="clear" w:color="auto" w:fill="D9E1F4"/>
            <w:vAlign w:val="center"/>
          </w:tcPr>
          <w:p w14:paraId="62F7F47D">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val="en-US" w:eastAsia="zh-CN"/>
              </w:rPr>
              <w:t>综合实训实习课</w:t>
            </w:r>
          </w:p>
        </w:tc>
        <w:tc>
          <w:tcPr>
            <w:tcW w:w="896" w:type="dxa"/>
            <w:vMerge w:val="continue"/>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15B37E7">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both"/>
              <w:textAlignment w:val="baseline"/>
              <w:rPr>
                <w:rFonts w:hint="eastAsia" w:ascii="仿宋_GB2312" w:hAnsi="仿宋_GB2312" w:eastAsia="仿宋_GB2312" w:cs="仿宋_GB2312"/>
                <w:b/>
                <w:bCs/>
                <w:color w:val="auto"/>
                <w:sz w:val="28"/>
                <w:szCs w:val="28"/>
              </w:rPr>
            </w:pPr>
          </w:p>
        </w:tc>
      </w:tr>
      <w:tr w14:paraId="2D4C6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34D60">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学时</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1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1346</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4BE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412</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46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800</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6D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520</w:t>
            </w:r>
          </w:p>
        </w:tc>
        <w:tc>
          <w:tcPr>
            <w:tcW w:w="1524" w:type="dxa"/>
            <w:tcBorders>
              <w:top w:val="single" w:color="000000" w:sz="4" w:space="0"/>
              <w:left w:val="single" w:color="000000" w:sz="4" w:space="0"/>
              <w:bottom w:val="single" w:color="000000" w:sz="4" w:space="0"/>
              <w:right w:val="nil"/>
            </w:tcBorders>
            <w:shd w:val="clear" w:color="auto" w:fill="auto"/>
            <w:noWrap/>
            <w:vAlign w:val="center"/>
          </w:tcPr>
          <w:p w14:paraId="0EDE41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720</w:t>
            </w:r>
          </w:p>
        </w:tc>
        <w:tc>
          <w:tcPr>
            <w:tcW w:w="89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04E28A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3798</w:t>
            </w:r>
          </w:p>
        </w:tc>
      </w:tr>
      <w:tr w14:paraId="0062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A125">
            <w:pPr>
              <w:keepNext w:val="0"/>
              <w:keepLines w:val="0"/>
              <w:pageBreakBefore w:val="0"/>
              <w:widowControl/>
              <w:kinsoku/>
              <w:wordWrap/>
              <w:overflowPunct/>
              <w:topLinePunct w:val="0"/>
              <w:autoSpaceDE/>
              <w:autoSpaceDN/>
              <w:bidi w:val="0"/>
              <w:adjustRightInd/>
              <w:snapToGrid w:val="0"/>
              <w:spacing w:line="460" w:lineRule="exact"/>
              <w:ind w:left="0" w:firstLine="0" w:firstLineChars="0"/>
              <w:jc w:val="center"/>
              <w:textAlignment w:val="baseline"/>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lang w:val="en-US" w:eastAsia="zh-CN"/>
              </w:rPr>
              <w:t>所占总学</w:t>
            </w:r>
            <w:r>
              <w:rPr>
                <w:rFonts w:hint="eastAsia" w:ascii="仿宋_GB2312" w:hAnsi="仿宋_GB2312" w:eastAsia="仿宋_GB2312" w:cs="仿宋_GB2312"/>
                <w:b w:val="0"/>
                <w:bCs w:val="0"/>
                <w:color w:val="auto"/>
                <w:sz w:val="28"/>
                <w:szCs w:val="28"/>
                <w:lang w:val="en-US" w:eastAsia="zh-CN"/>
              </w:rPr>
              <w:br w:type="textWrapping"/>
            </w:r>
            <w:r>
              <w:rPr>
                <w:rFonts w:hint="eastAsia" w:ascii="仿宋_GB2312" w:hAnsi="仿宋_GB2312" w:eastAsia="仿宋_GB2312" w:cs="仿宋_GB2312"/>
                <w:b w:val="0"/>
                <w:bCs w:val="0"/>
                <w:color w:val="auto"/>
                <w:sz w:val="28"/>
                <w:szCs w:val="28"/>
                <w:lang w:val="en-US" w:eastAsia="zh-CN"/>
              </w:rPr>
              <w:t>时比例%</w:t>
            </w:r>
          </w:p>
        </w:tc>
        <w:tc>
          <w:tcPr>
            <w:tcW w:w="11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F3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35%</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5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11%</w:t>
            </w:r>
          </w:p>
        </w:tc>
        <w:tc>
          <w:tcPr>
            <w:tcW w:w="1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A4C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21%</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C5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14%</w:t>
            </w:r>
          </w:p>
        </w:tc>
        <w:tc>
          <w:tcPr>
            <w:tcW w:w="1524" w:type="dxa"/>
            <w:tcBorders>
              <w:top w:val="single" w:color="000000" w:sz="4" w:space="0"/>
              <w:left w:val="single" w:color="000000" w:sz="4" w:space="0"/>
              <w:bottom w:val="single" w:color="000000" w:sz="4" w:space="0"/>
              <w:right w:val="nil"/>
            </w:tcBorders>
            <w:shd w:val="clear" w:color="auto" w:fill="auto"/>
            <w:noWrap/>
            <w:vAlign w:val="center"/>
          </w:tcPr>
          <w:p w14:paraId="2571B3A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19%</w:t>
            </w:r>
          </w:p>
        </w:tc>
        <w:tc>
          <w:tcPr>
            <w:tcW w:w="896" w:type="dxa"/>
            <w:tcBorders>
              <w:top w:val="single" w:color="000000" w:sz="4" w:space="0"/>
              <w:left w:val="single" w:color="000000" w:sz="4" w:space="0"/>
              <w:bottom w:val="single" w:color="000000" w:sz="4" w:space="0"/>
              <w:right w:val="single" w:color="000000" w:sz="4" w:space="0"/>
            </w:tcBorders>
            <w:shd w:val="clear" w:color="auto" w:fill="D9E1F4"/>
            <w:noWrap/>
            <w:vAlign w:val="center"/>
          </w:tcPr>
          <w:p w14:paraId="509082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8"/>
                <w:szCs w:val="28"/>
                <w:u w:val="none"/>
                <w:lang w:val="en-US" w:eastAsia="zh-CN" w:bidi="ar"/>
              </w:rPr>
            </w:pPr>
            <w:r>
              <w:rPr>
                <w:rFonts w:hint="eastAsia" w:ascii="Times New Roman" w:hAnsi="Times New Roman" w:eastAsia="仿宋_GB2312" w:cs="Times New Roman"/>
                <w:i w:val="0"/>
                <w:iCs w:val="0"/>
                <w:snapToGrid w:val="0"/>
                <w:color w:val="000000"/>
                <w:kern w:val="0"/>
                <w:sz w:val="28"/>
                <w:szCs w:val="28"/>
                <w:u w:val="none"/>
                <w:lang w:val="en-US" w:eastAsia="zh-CN" w:bidi="ar"/>
              </w:rPr>
              <w:t>100%</w:t>
            </w:r>
          </w:p>
        </w:tc>
      </w:tr>
    </w:tbl>
    <w:p w14:paraId="2B535493">
      <w:pPr>
        <w:keepNext w:val="0"/>
        <w:keepLines w:val="0"/>
        <w:pageBreakBefore w:val="0"/>
        <w:numPr>
          <w:ilvl w:val="0"/>
          <w:numId w:val="0"/>
        </w:numPr>
        <w:wordWrap/>
        <w:overflowPunct/>
        <w:topLinePunct w:val="0"/>
        <w:bidi w:val="0"/>
        <w:spacing w:line="540" w:lineRule="exact"/>
        <w:ind w:left="0" w:leftChars="0"/>
        <w:jc w:val="left"/>
        <w:rPr>
          <w:rFonts w:hint="eastAsia" w:ascii="仿宋_GB2312" w:hAnsi="仿宋_GB2312" w:eastAsia="仿宋_GB2312" w:cs="仿宋_GB2312"/>
          <w:color w:val="auto"/>
          <w:sz w:val="30"/>
          <w:szCs w:val="30"/>
          <w:lang w:val="en-US" w:eastAsia="zh-CN"/>
        </w:rPr>
        <w:sectPr>
          <w:pgSz w:w="11906" w:h="16838"/>
          <w:pgMar w:top="1440" w:right="1080" w:bottom="1440" w:left="1080" w:header="851" w:footer="992" w:gutter="0"/>
          <w:pgNumType w:fmt="decimal" w:start="1"/>
          <w:cols w:space="425" w:num="1"/>
          <w:docGrid w:type="lines" w:linePitch="312" w:charSpace="0"/>
        </w:sectPr>
      </w:pPr>
    </w:p>
    <w:p w14:paraId="4217F33D">
      <w:pPr>
        <w:keepNext w:val="0"/>
        <w:keepLines w:val="0"/>
        <w:pageBreakBefore w:val="0"/>
        <w:widowControl/>
        <w:kinsoku/>
        <w:wordWrap/>
        <w:overflowPunct/>
        <w:topLinePunct w:val="0"/>
        <w:autoSpaceDE/>
        <w:autoSpaceDN/>
        <w:bidi w:val="0"/>
        <w:adjustRightInd/>
        <w:snapToGrid w:val="0"/>
        <w:spacing w:line="540" w:lineRule="exact"/>
        <w:ind w:left="0" w:firstLine="0" w:firstLineChars="0"/>
        <w:jc w:val="center"/>
        <w:textAlignment w:val="baseline"/>
        <w:rPr>
          <w:rFonts w:hint="eastAsia" w:ascii="仿宋_GB2312" w:hAnsi="仿宋_GB2312" w:eastAsia="仿宋_GB2312" w:cs="仿宋_GB2312"/>
          <w:b/>
          <w:bCs/>
          <w:color w:val="auto"/>
          <w:sz w:val="30"/>
          <w:szCs w:val="30"/>
        </w:rPr>
      </w:pPr>
      <w:r>
        <w:rPr>
          <w:rFonts w:hint="eastAsia" w:ascii="仿宋_GB2312" w:hAnsi="仿宋_GB2312" w:eastAsia="仿宋_GB2312" w:cs="仿宋_GB2312"/>
          <w:b/>
          <w:bCs/>
          <w:color w:val="auto"/>
          <w:sz w:val="30"/>
          <w:szCs w:val="30"/>
        </w:rPr>
        <w:t>广西工艺美术学校</w:t>
      </w:r>
      <w:r>
        <w:rPr>
          <w:rFonts w:hint="eastAsia" w:ascii="仿宋_GB2312" w:hAnsi="仿宋_GB2312" w:eastAsia="仿宋_GB2312" w:cs="仿宋_GB2312"/>
          <w:b/>
          <w:bCs/>
          <w:color w:val="auto"/>
          <w:sz w:val="30"/>
          <w:szCs w:val="30"/>
          <w:lang w:val="en-US" w:eastAsia="zh-CN"/>
        </w:rPr>
        <w:t>民间传统工艺</w:t>
      </w:r>
      <w:r>
        <w:rPr>
          <w:rFonts w:hint="eastAsia" w:ascii="仿宋_GB2312" w:hAnsi="仿宋_GB2312" w:eastAsia="仿宋_GB2312" w:cs="仿宋_GB2312"/>
          <w:b/>
          <w:bCs/>
          <w:color w:val="auto"/>
          <w:sz w:val="30"/>
          <w:szCs w:val="30"/>
        </w:rPr>
        <w:t>专业（三年制）课程设置及学时安排</w:t>
      </w:r>
    </w:p>
    <w:tbl>
      <w:tblPr>
        <w:tblStyle w:val="11"/>
        <w:tblW w:w="94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417"/>
        <w:gridCol w:w="416"/>
        <w:gridCol w:w="417"/>
        <w:gridCol w:w="2043"/>
        <w:gridCol w:w="664"/>
        <w:gridCol w:w="643"/>
        <w:gridCol w:w="654"/>
        <w:gridCol w:w="643"/>
        <w:gridCol w:w="679"/>
        <w:gridCol w:w="417"/>
        <w:gridCol w:w="417"/>
        <w:gridCol w:w="417"/>
        <w:gridCol w:w="417"/>
        <w:gridCol w:w="417"/>
        <w:gridCol w:w="417"/>
      </w:tblGrid>
      <w:tr w14:paraId="7F125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6DB1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w:t>
            </w:r>
          </w:p>
          <w:p w14:paraId="0BF5FDC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分类</w:t>
            </w:r>
          </w:p>
        </w:tc>
        <w:tc>
          <w:tcPr>
            <w:tcW w:w="287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AC9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课程名称</w:t>
            </w:r>
          </w:p>
        </w:tc>
        <w:tc>
          <w:tcPr>
            <w:tcW w:w="6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991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课程性质</w:t>
            </w:r>
          </w:p>
        </w:tc>
        <w:tc>
          <w:tcPr>
            <w:tcW w:w="194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6883C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学时</w:t>
            </w:r>
          </w:p>
        </w:tc>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63F1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学分</w:t>
            </w:r>
          </w:p>
        </w:tc>
        <w:tc>
          <w:tcPr>
            <w:tcW w:w="250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4179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各学期周数或学时分配</w:t>
            </w:r>
          </w:p>
        </w:tc>
      </w:tr>
      <w:tr w14:paraId="7E78E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054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96C1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EF8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F56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总学时</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32F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理论学时</w:t>
            </w:r>
          </w:p>
        </w:tc>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D57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实践学时</w:t>
            </w: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566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FD1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4AA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4B31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3</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528A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4</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2125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5</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140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6</w:t>
            </w:r>
          </w:p>
        </w:tc>
      </w:tr>
      <w:tr w14:paraId="1FE6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1763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7BA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318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2D5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7D5C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BA3D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0084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C8AE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3B5F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F1AE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A2E1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2C8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9B7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r>
      <w:tr w14:paraId="1C1E6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87C1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87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CD8E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8A86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CC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89C5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7A9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B14B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72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25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B6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C1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88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B8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20周</w:t>
            </w:r>
          </w:p>
        </w:tc>
      </w:tr>
      <w:tr w14:paraId="3A381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E7A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公共基础课</w:t>
            </w: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50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434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思政课程</w:t>
            </w:r>
          </w:p>
        </w:tc>
        <w:tc>
          <w:tcPr>
            <w:tcW w:w="2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B332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中国特色社会主义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99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0B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5E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534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C3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B0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EE3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9AD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69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4CE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F072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1E1FE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329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0F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A6FE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A839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心理健康与职业生涯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54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12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0FB0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EB9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8B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3A7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92C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287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AA6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67FA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4A7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17B6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818C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CB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EB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1551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哲学与人生</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FE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FC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6D1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595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7B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6A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0B7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B1D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2B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D08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8B8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1F393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15F8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7F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E9D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A70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职业道德与法治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C2E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A07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D7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87A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5D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FD7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21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311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9F5B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6C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3F5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8C7E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5B4A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3C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99EA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928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（拓展模块）国家安全教育、民族团结进步教育等</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AE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A69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D4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FA3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AC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B7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0F5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AFD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77B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D33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49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79A5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F158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268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922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75F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习近平新时代中国特色社会主义思想读本</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C9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99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07A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310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18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AB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8F0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FD4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D3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E2C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4FF8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3E458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F9FA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FB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2AF5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语文（基础模块+职业模块）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B0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6BA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56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48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3B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04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34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7E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8D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E18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E9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32ACD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1FBA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DA4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9B95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语文（拓展模块）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59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91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39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EA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3B9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E8B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892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3F3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819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C98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C4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1D0A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F90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1ED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980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69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699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FD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C0F1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07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28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ACD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1DC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40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00DF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D15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DD5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72B3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FA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3E22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历史（拓展模块）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DF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A2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21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4E3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3B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8B8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3B9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A8B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2FD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CA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69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r>
      <w:tr w14:paraId="3CE2F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A246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A7D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8517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英语（基础模块+职业模块）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9B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00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144</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B22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C4F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E5D3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97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50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BE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58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328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5E8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DF31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EC7D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DE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76F4D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英语（拓展模块）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EB60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25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F2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F46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96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C4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E3C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A8A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E2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223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E98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2440E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4E3B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D25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13</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394D5">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AD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F2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1108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A18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FB2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76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425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9D7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FBC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93C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E8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2748F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0D21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89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14</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4C6E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数学（拓展模块）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C7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12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4254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6FD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93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A9C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917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7A8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621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C8D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BA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0C23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2EE4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3F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15</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DC74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C5A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0D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868B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97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24B6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1EF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29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2CD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125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87D4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B58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A95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A61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1A0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E60DA">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信息技术（拓展模块）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29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78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EF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30EC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FD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DAC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DA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84C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44F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416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E5F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r>
      <w:tr w14:paraId="2F7DA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3C80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AB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17</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894B9">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DE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E9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54</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EB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6A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A1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80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C9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08D6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A4A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AB3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8B04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3779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A98D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606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1CCA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体育与健康（拓展模块）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A4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328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90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C0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12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74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25E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5ED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32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A6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238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866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D03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511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E1B6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CE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19</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5D091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艺术（基础模块）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8E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C40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C6E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31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A3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658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5CEA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465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0D7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192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6410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68047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A43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9A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20</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31DE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艺术（拓展模块）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61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选修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B8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D32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9C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4D8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D8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49D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11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76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A3D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50D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5AC9F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1163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21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DB046">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劳动教育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49A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B0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A9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643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F6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C2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FCEA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FEF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254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43A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69A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725A7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D5A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56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B07B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安全教育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ABA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39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5A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7E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15C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0.5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488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ACB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734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A85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D4D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CEAF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5C7BF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29D2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247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23</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D3CFE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军事训练和国防教育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C7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10D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4E1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2336">
            <w:pPr>
              <w:keepNext w:val="0"/>
              <w:keepLines w:val="0"/>
              <w:pageBreakBefore w:val="0"/>
              <w:widowControl/>
              <w:wordWrap/>
              <w:overflowPunct/>
              <w:topLinePunct w:val="0"/>
              <w:bidi w:val="0"/>
              <w:spacing w:line="240" w:lineRule="auto"/>
              <w:ind w:firstLine="0" w:firstLineChars="0"/>
              <w:jc w:val="center"/>
              <w:rPr>
                <w:rFonts w:hint="eastAsia"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48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B52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3D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eastAsia"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A0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0CC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A46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81C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0C0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i w:val="0"/>
                <w:iCs w:val="0"/>
                <w:color w:val="000000"/>
                <w:sz w:val="20"/>
                <w:szCs w:val="20"/>
                <w:u w:val="none"/>
              </w:rPr>
            </w:pPr>
          </w:p>
        </w:tc>
      </w:tr>
      <w:tr w14:paraId="03817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059D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7B97">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24</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677BC">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人工智能通识教育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A3F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0D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5B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998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60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3F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3C1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0A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B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F0E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AC1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FC8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51AD8">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5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7D128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09C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1346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C10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838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F8E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508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598C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74.5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9A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w:t>
            </w:r>
            <w:r>
              <w:rPr>
                <w:rFonts w:hint="eastAsia" w:eastAsia="宋体" w:cs="Times New Roman"/>
                <w:b/>
                <w:bCs/>
                <w:i w:val="0"/>
                <w:iCs w:val="0"/>
                <w:color w:val="000000"/>
                <w:kern w:val="0"/>
                <w:sz w:val="20"/>
                <w:szCs w:val="20"/>
                <w:u w:val="none"/>
                <w:lang w:val="en-US" w:eastAsia="zh-CN" w:bidi="ar"/>
              </w:rPr>
              <w:t>9</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2FC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47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DFD2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A3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34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12</w:t>
            </w:r>
          </w:p>
        </w:tc>
      </w:tr>
      <w:tr w14:paraId="5462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1E3AE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专业课</w:t>
            </w: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7554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专业基础课程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B1D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A34F3">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设计素描</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DC1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FD1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03A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30E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1D3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016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DEA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532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24E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188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B39C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4D5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8D79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5E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C8A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1D76C">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设计色彩</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6A2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24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387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753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D76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53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546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F26F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1EB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F99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C6E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277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E26B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C046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858B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F801A">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基础图案</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84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18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A8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78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99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F10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C2B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3DF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4F6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47D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9D9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FA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CA66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A5C97">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9137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CFD41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构成</w:t>
            </w:r>
            <w:r>
              <w:rPr>
                <w:rFonts w:hint="eastAsia" w:ascii="Times New Roman" w:hAnsi="Times New Roman" w:eastAsia="仿宋_GB2312" w:cs="Times New Roman"/>
                <w:i w:val="0"/>
                <w:iCs w:val="0"/>
                <w:snapToGrid w:val="0"/>
                <w:color w:val="000000"/>
                <w:kern w:val="0"/>
                <w:sz w:val="20"/>
                <w:szCs w:val="20"/>
                <w:u w:val="none"/>
                <w:lang w:val="en-US" w:eastAsia="zh-CN" w:bidi="ar"/>
              </w:rPr>
              <w:t>基础</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95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96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BE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6D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70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C08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F6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DA9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9B8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033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0BF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56FB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882F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5F1D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5A2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5</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34DD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中外图案</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D5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32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7DB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D6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A711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17E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A6D7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9F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E53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8546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AF5C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2EF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DA2F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BE76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4B6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6</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1EF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速写</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A5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BE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B7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42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B4E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3271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AC05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10ED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B56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97E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F0D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C8E4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C6BF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91D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A44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7</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6192B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艺术概论</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3795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E2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95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B0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D79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3F26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C6A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E5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710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1D2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615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41A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B77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3587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48E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lang w:val="en-US" w:eastAsia="zh-CN"/>
              </w:rPr>
            </w:pPr>
            <w:r>
              <w:rPr>
                <w:rFonts w:hint="eastAsia" w:ascii="Times New Roman" w:hAnsi="Times New Roman" w:eastAsia="仿宋_GB2312" w:cs="Times New Roman"/>
                <w:i w:val="0"/>
                <w:iCs w:val="0"/>
                <w:color w:val="000000"/>
                <w:sz w:val="20"/>
                <w:szCs w:val="20"/>
                <w:u w:val="none"/>
                <w:lang w:val="en-US" w:eastAsia="zh-CN"/>
              </w:rPr>
              <w:t>8</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9360D">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艺术史</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704A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F39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E85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B3D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49C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4A0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F93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435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7E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B478">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E55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7E7D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6E93A">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1040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5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1C5E4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01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lang w:val="en-US"/>
              </w:rPr>
            </w:pPr>
            <w:r>
              <w:rPr>
                <w:rFonts w:hint="default" w:ascii="Times New Roman" w:hAnsi="Times New Roman" w:eastAsia="宋体" w:cs="Times New Roman"/>
                <w:b/>
                <w:bCs/>
                <w:i w:val="0"/>
                <w:iCs w:val="0"/>
                <w:color w:val="000000"/>
                <w:kern w:val="0"/>
                <w:sz w:val="20"/>
                <w:szCs w:val="20"/>
                <w:u w:val="none"/>
                <w:lang w:val="en-US" w:eastAsia="zh-CN" w:bidi="ar"/>
              </w:rPr>
              <w:t>412</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549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106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8F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306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ED4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21</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62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9</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552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59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AB0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8DC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151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r>
      <w:tr w14:paraId="36F9F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D91C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40E3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核心课程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42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ADA1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陶艺</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9CB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1B1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144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F47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164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762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F56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E8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FD8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281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68C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0216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DAE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6520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61E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D586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装饰画</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C99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A7DE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78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B3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96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7A3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62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F3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6D2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F2B5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B8C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7769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BB72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787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E439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4A71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文创设计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DB26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7F5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877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2C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57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B90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5CB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414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2D9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E04D">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346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1F21C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8FFEB">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7945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43E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8CD62">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玉雕</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F8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07E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DB9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30C4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772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484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06B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FA7D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C60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204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2F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22583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AD3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1A866">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EA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808F4">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民间印染</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D7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48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eastAsia="宋体" w:cs="Times New Roman"/>
                <w:i w:val="0"/>
                <w:iCs w:val="0"/>
                <w:color w:val="000000"/>
                <w:kern w:val="0"/>
                <w:sz w:val="20"/>
                <w:szCs w:val="20"/>
                <w:u w:val="none"/>
                <w:lang w:val="en-US" w:eastAsia="zh-CN" w:bidi="ar"/>
              </w:rPr>
              <w:t>100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E6A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eastAsia="宋体" w:cs="Times New Roman"/>
                <w:i w:val="0"/>
                <w:iCs w:val="0"/>
                <w:color w:val="000000"/>
                <w:kern w:val="0"/>
                <w:sz w:val="20"/>
                <w:szCs w:val="20"/>
                <w:u w:val="none"/>
                <w:lang w:val="en-US" w:eastAsia="zh-CN" w:bidi="ar"/>
              </w:rPr>
              <w:t>10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6EE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eastAsia="宋体" w:cs="Times New Roman"/>
                <w:i w:val="0"/>
                <w:iCs w:val="0"/>
                <w:color w:val="000000"/>
                <w:kern w:val="0"/>
                <w:sz w:val="20"/>
                <w:szCs w:val="20"/>
                <w:u w:val="none"/>
                <w:lang w:val="en-US" w:eastAsia="zh-CN" w:bidi="ar"/>
              </w:rPr>
              <w:t>90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C23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eastAsia="宋体" w:cs="Times New Roman"/>
                <w:i w:val="0"/>
                <w:iCs w:val="0"/>
                <w:color w:val="000000"/>
                <w:kern w:val="0"/>
                <w:sz w:val="20"/>
                <w:szCs w:val="20"/>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9A4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eastAsia="宋体" w:cs="Times New Roman"/>
                <w:i w:val="0"/>
                <w:iCs w:val="0"/>
                <w:color w:val="000000"/>
                <w:kern w:val="0"/>
                <w:sz w:val="20"/>
                <w:szCs w:val="20"/>
                <w:u w:val="none"/>
                <w:lang w:val="en-US" w:eastAsia="zh-CN" w:bidi="ar"/>
              </w:rPr>
              <w:t>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0CD1">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F5B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5EB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9352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495A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5785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9DFF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E951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F7D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color w:val="000000"/>
                <w:sz w:val="20"/>
                <w:szCs w:val="20"/>
                <w:u w:val="none"/>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07AD9">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计算机平面设计（Ps）</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56D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4C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766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D8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6660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C180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D52A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E347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53B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23B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7B83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70DB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EC37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82245">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2F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08C4F">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3D建模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B46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89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2F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D573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126</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298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114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143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2D5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C37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B158">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7A9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5B88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A5A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EB37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5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44640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B1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eastAsia="宋体" w:cs="Times New Roman"/>
                <w:b/>
                <w:bCs/>
                <w:i w:val="0"/>
                <w:iCs w:val="0"/>
                <w:color w:val="000000"/>
                <w:kern w:val="0"/>
                <w:sz w:val="20"/>
                <w:szCs w:val="20"/>
                <w:u w:val="none"/>
                <w:lang w:val="en-US" w:eastAsia="zh-CN" w:bidi="ar"/>
              </w:rPr>
              <w:t>800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9A3A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eastAsia="宋体" w:cs="Times New Roman"/>
                <w:b/>
                <w:bCs/>
                <w:i w:val="0"/>
                <w:iCs w:val="0"/>
                <w:color w:val="000000"/>
                <w:kern w:val="0"/>
                <w:sz w:val="20"/>
                <w:szCs w:val="20"/>
                <w:u w:val="none"/>
                <w:lang w:val="en-US" w:eastAsia="zh-CN" w:bidi="ar"/>
              </w:rPr>
              <w:t>80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CE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eastAsia="宋体" w:cs="Times New Roman"/>
                <w:b/>
                <w:bCs/>
                <w:i w:val="0"/>
                <w:iCs w:val="0"/>
                <w:color w:val="000000"/>
                <w:kern w:val="0"/>
                <w:sz w:val="20"/>
                <w:szCs w:val="20"/>
                <w:u w:val="none"/>
                <w:lang w:val="en-US" w:eastAsia="zh-CN" w:bidi="ar"/>
              </w:rPr>
              <w:t>720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5D0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eastAsia="宋体" w:cs="Times New Roman"/>
                <w:b/>
                <w:bCs/>
                <w:i w:val="0"/>
                <w:iCs w:val="0"/>
                <w:color w:val="000000"/>
                <w:kern w:val="0"/>
                <w:sz w:val="20"/>
                <w:szCs w:val="20"/>
                <w:u w:val="none"/>
                <w:lang w:val="en-US" w:eastAsia="zh-CN" w:bidi="ar"/>
              </w:rPr>
              <w:t>40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DEE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eastAsia="宋体" w:cs="Times New Roman"/>
                <w:b/>
                <w:bCs/>
                <w:i w:val="0"/>
                <w:iCs w:val="0"/>
                <w:color w:val="000000"/>
                <w:kern w:val="0"/>
                <w:sz w:val="20"/>
                <w:szCs w:val="20"/>
                <w:u w:val="none"/>
                <w:lang w:val="en-US" w:eastAsia="zh-CN" w:bidi="ar"/>
              </w:rPr>
              <w:t>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B984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C43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17</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5968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C24B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E17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6</w:t>
            </w:r>
          </w:p>
        </w:tc>
      </w:tr>
      <w:tr w14:paraId="67031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B4E0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E4C4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拓展课程</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8D22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50EA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彩塑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76A1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7AF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94B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F42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089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57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DB0E">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C92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0C6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D65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41D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5A4C5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9957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FA9E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CCD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B19A1">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装饰浮雕</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AFB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B0D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BA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F6B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E2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B2F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A8B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0A9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FC65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CD1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043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70E7B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2AD2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D108D">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347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3</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96BB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刻瓷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647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40F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528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E9A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A4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025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110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540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7E0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0AA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95E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49374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1D9F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537C4">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243C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4</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2CA18">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手工编结</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5FB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D6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FFA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38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72</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F8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E7C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BAB1">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42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0A4D">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6108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377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000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FF723">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0DA5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7C1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5</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968EE3">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国画</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2877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D03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6DE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039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72</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89B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BFD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937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876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946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B2EA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8BB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2001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F989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EEF4F">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4AF3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6</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CCE10F">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漆艺</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F78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A35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3B1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A6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FDA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426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8AE1">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896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E935">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D0E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FC61">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6F72B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E9CF9">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0988C">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DE07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7</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E216D">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泥塑</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5DD9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AF4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C3E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DEE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913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D66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071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8B8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A72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7FE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5A3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07BAC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FB952">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D33E">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A722A">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8</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1B262">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仿宋_GB2312" w:cs="Times New Roman"/>
                <w:i w:val="0"/>
                <w:iCs w:val="0"/>
                <w:snapToGrid w:val="0"/>
                <w:color w:val="000000"/>
                <w:kern w:val="0"/>
                <w:sz w:val="20"/>
                <w:szCs w:val="20"/>
                <w:u w:val="none"/>
                <w:lang w:val="en-US" w:eastAsia="zh-CN" w:bidi="ar"/>
              </w:rPr>
              <w:t>木雕</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C74C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限选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B85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F23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D07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92E3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A3A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9D3F">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9A3A">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D7F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902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BF7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F4D8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8089DD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41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F96DBB0">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5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BE3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44D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451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52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E5D2">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468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01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509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B5D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7BB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7</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74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D59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F16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0</w:t>
            </w:r>
          </w:p>
        </w:tc>
      </w:tr>
      <w:tr w14:paraId="74709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1ADB7A5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实习</w:t>
            </w:r>
          </w:p>
          <w:p w14:paraId="14803E2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color w:val="000000"/>
                <w:sz w:val="20"/>
                <w:szCs w:val="20"/>
                <w:u w:val="none"/>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实训</w:t>
            </w: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377F8">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1</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30FDB4">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毕业设计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9B3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780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5A5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7C3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108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14F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A599">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E097">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890E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24C03">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429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DFDF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w:t>
            </w:r>
          </w:p>
        </w:tc>
      </w:tr>
      <w:tr w14:paraId="08EA6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34" w:type="dxa"/>
            <w:gridSpan w:val="2"/>
            <w:vMerge w:val="continue"/>
            <w:tcBorders>
              <w:left w:val="single" w:color="000000" w:sz="4" w:space="0"/>
              <w:right w:val="single" w:color="000000" w:sz="4" w:space="0"/>
            </w:tcBorders>
            <w:shd w:val="clear" w:color="auto" w:fill="auto"/>
            <w:vAlign w:val="center"/>
          </w:tcPr>
          <w:p w14:paraId="4BCEDCC8">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DEC1">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t>2</w:t>
            </w:r>
          </w:p>
        </w:tc>
        <w:tc>
          <w:tcPr>
            <w:tcW w:w="24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158B0">
            <w:pPr>
              <w:keepNext w:val="0"/>
              <w:keepLines w:val="0"/>
              <w:pageBreakBefore w:val="0"/>
              <w:widowControl/>
              <w:suppressLineNumbers w:val="0"/>
              <w:wordWrap/>
              <w:overflowPunct/>
              <w:topLinePunct w:val="0"/>
              <w:bidi w:val="0"/>
              <w:spacing w:line="240" w:lineRule="auto"/>
              <w:ind w:firstLine="0" w:firstLineChars="0"/>
              <w:jc w:val="left"/>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岗位实习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24D9">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仿宋_GB2312" w:cs="Times New Roman"/>
                <w:i w:val="0"/>
                <w:iCs w:val="0"/>
                <w:snapToGrid w:val="0"/>
                <w:color w:val="000000"/>
                <w:kern w:val="0"/>
                <w:sz w:val="20"/>
                <w:szCs w:val="20"/>
                <w:u w:val="none"/>
                <w:lang w:val="en-US" w:eastAsia="zh-CN" w:bidi="ar"/>
              </w:rPr>
              <w:t>必修</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C60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2A2E">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9CDD">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600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466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0888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4016">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DFE4">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6A4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E81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i w:val="0"/>
                <w:iCs w:val="0"/>
                <w:snapToGrid w:val="0"/>
                <w:color w:val="000000"/>
                <w:kern w:val="0"/>
                <w:sz w:val="20"/>
                <w:szCs w:val="20"/>
                <w:u w:val="none"/>
                <w:lang w:val="en-US" w:eastAsia="zh-CN" w:bidi="ar"/>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DF88">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i w:val="0"/>
                <w:iCs w:val="0"/>
                <w:snapToGrid w:val="0"/>
                <w:color w:val="000000"/>
                <w:kern w:val="0"/>
                <w:sz w:val="20"/>
                <w:szCs w:val="20"/>
                <w:u w:val="none"/>
                <w:lang w:val="en-US" w:eastAsia="zh-CN" w:bidi="ar"/>
              </w:rPr>
            </w:pPr>
          </w:p>
        </w:tc>
      </w:tr>
      <w:tr w14:paraId="3FDF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jc w:val="center"/>
        </w:trPr>
        <w:tc>
          <w:tcPr>
            <w:tcW w:w="83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34EC1">
            <w:pPr>
              <w:keepNext w:val="0"/>
              <w:keepLines w:val="0"/>
              <w:pageBreakBefore w:val="0"/>
              <w:widowControl/>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color w:val="000000"/>
                <w:sz w:val="20"/>
                <w:szCs w:val="20"/>
                <w:u w:val="none"/>
              </w:rPr>
            </w:pPr>
          </w:p>
        </w:tc>
        <w:tc>
          <w:tcPr>
            <w:tcW w:w="35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18415B">
            <w:pPr>
              <w:keepNext w:val="0"/>
              <w:keepLines w:val="0"/>
              <w:pageBreakBefore w:val="0"/>
              <w:widowControl/>
              <w:suppressLineNumbers w:val="0"/>
              <w:kinsoku w:val="0"/>
              <w:wordWrap/>
              <w:overflowPunct/>
              <w:topLinePunct w:val="0"/>
              <w:autoSpaceDE w:val="0"/>
              <w:autoSpaceDN w:val="0"/>
              <w:bidi w:val="0"/>
              <w:adjustRightInd w:val="0"/>
              <w:snapToGrid w:val="0"/>
              <w:spacing w:line="240" w:lineRule="auto"/>
              <w:ind w:firstLine="0" w:firstLineChars="0"/>
              <w:jc w:val="center"/>
              <w:textAlignment w:val="center"/>
              <w:rPr>
                <w:rFonts w:hint="default" w:ascii="Times New Roman" w:hAnsi="Times New Roman" w:eastAsia="仿宋_GB2312" w:cs="Times New Roman"/>
                <w:b w:val="0"/>
                <w:bCs w:val="0"/>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小计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EAF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720</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895FF">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12</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60D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708</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A24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26</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711C">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4EEB">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DF602">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F770">
            <w:pPr>
              <w:keepNext w:val="0"/>
              <w:keepLines w:val="0"/>
              <w:pageBreakBefore w:val="0"/>
              <w:wordWrap/>
              <w:overflowPunct/>
              <w:topLinePunct w:val="0"/>
              <w:bidi w:val="0"/>
              <w:spacing w:line="240" w:lineRule="auto"/>
              <w:ind w:firstLine="0" w:firstLineChars="0"/>
              <w:jc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89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D5E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6</w:t>
            </w:r>
          </w:p>
        </w:tc>
      </w:tr>
      <w:tr w14:paraId="2DFC5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437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D1A29C">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仿宋_GB2312" w:cs="Times New Roman"/>
                <w:b/>
                <w:bCs/>
                <w:i w:val="0"/>
                <w:iCs w:val="0"/>
                <w:snapToGrid w:val="0"/>
                <w:color w:val="000000"/>
                <w:kern w:val="0"/>
                <w:sz w:val="20"/>
                <w:szCs w:val="20"/>
                <w:u w:val="none"/>
                <w:lang w:val="en-US" w:eastAsia="zh-CN" w:bidi="ar"/>
              </w:rPr>
            </w:pPr>
            <w:r>
              <w:rPr>
                <w:rFonts w:hint="default" w:ascii="Times New Roman" w:hAnsi="Times New Roman" w:eastAsia="仿宋_GB2312" w:cs="Times New Roman"/>
                <w:b/>
                <w:bCs/>
                <w:i w:val="0"/>
                <w:iCs w:val="0"/>
                <w:snapToGrid w:val="0"/>
                <w:color w:val="000000"/>
                <w:kern w:val="0"/>
                <w:sz w:val="20"/>
                <w:szCs w:val="20"/>
                <w:u w:val="none"/>
                <w:lang w:val="en-US" w:eastAsia="zh-CN" w:bidi="ar"/>
              </w:rPr>
              <w:t>合计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DAA7">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3798</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68B3">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1088</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06364">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2710</w:t>
            </w:r>
          </w:p>
        </w:tc>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6EA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187.5</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1D9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w:t>
            </w:r>
            <w:r>
              <w:rPr>
                <w:rFonts w:hint="eastAsia" w:eastAsia="宋体" w:cs="Times New Roman"/>
                <w:b/>
                <w:bCs/>
                <w:i w:val="0"/>
                <w:iCs w:val="0"/>
                <w:color w:val="000000"/>
                <w:kern w:val="0"/>
                <w:sz w:val="20"/>
                <w:szCs w:val="20"/>
                <w:u w:val="none"/>
                <w:lang w:val="en-US" w:eastAsia="zh-CN" w:bidi="ar"/>
              </w:rPr>
              <w:t>9</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7200">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4536">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43</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5DCB">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32</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D091">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20</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DFA5">
            <w:pPr>
              <w:keepNext w:val="0"/>
              <w:keepLines w:val="0"/>
              <w:pageBreakBefore w:val="0"/>
              <w:widowControl/>
              <w:suppressLineNumbers w:val="0"/>
              <w:wordWrap/>
              <w:overflowPunct/>
              <w:topLinePunct w:val="0"/>
              <w:bidi w:val="0"/>
              <w:spacing w:line="240" w:lineRule="auto"/>
              <w:ind w:firstLine="0" w:firstLineChars="0"/>
              <w:jc w:val="center"/>
              <w:textAlignment w:val="center"/>
              <w:rPr>
                <w:rFonts w:hint="default" w:ascii="Times New Roman" w:hAnsi="Times New Roman" w:eastAsia="宋体" w:cs="Times New Roman"/>
                <w:b/>
                <w:bCs/>
                <w:i w:val="0"/>
                <w:iCs w:val="0"/>
                <w:color w:val="000000"/>
                <w:kern w:val="0"/>
                <w:sz w:val="20"/>
                <w:szCs w:val="20"/>
                <w:u w:val="none"/>
                <w:lang w:val="en-US" w:eastAsia="zh-CN" w:bidi="ar"/>
              </w:rPr>
            </w:pPr>
            <w:r>
              <w:rPr>
                <w:rFonts w:hint="eastAsia" w:ascii="Times New Roman" w:hAnsi="Times New Roman" w:eastAsia="宋体" w:cs="Times New Roman"/>
                <w:b/>
                <w:bCs/>
                <w:i w:val="0"/>
                <w:iCs w:val="0"/>
                <w:color w:val="000000"/>
                <w:kern w:val="0"/>
                <w:sz w:val="20"/>
                <w:szCs w:val="20"/>
                <w:u w:val="none"/>
                <w:lang w:val="en-US" w:eastAsia="zh-CN" w:bidi="ar"/>
              </w:rPr>
              <w:t>24</w:t>
            </w:r>
          </w:p>
        </w:tc>
      </w:tr>
    </w:tbl>
    <w:p w14:paraId="266D11FF">
      <w:pPr>
        <w:pStyle w:val="2"/>
        <w:bidi w:val="0"/>
        <w:rPr>
          <w:rFonts w:hint="eastAsia"/>
        </w:rPr>
      </w:pPr>
      <w:bookmarkStart w:id="28" w:name="_Toc22755"/>
      <w:r>
        <w:rPr>
          <w:rFonts w:hint="eastAsia"/>
          <w:lang w:val="en-US" w:eastAsia="zh-CN"/>
        </w:rPr>
        <w:t>八</w:t>
      </w:r>
      <w:r>
        <w:rPr>
          <w:rFonts w:hint="eastAsia"/>
        </w:rPr>
        <w:t>、实施保障</w:t>
      </w:r>
      <w:bookmarkEnd w:id="28"/>
    </w:p>
    <w:p w14:paraId="78329DD8">
      <w:pPr>
        <w:pStyle w:val="3"/>
        <w:bidi w:val="0"/>
        <w:rPr>
          <w:rFonts w:hint="eastAsia"/>
        </w:rPr>
      </w:pPr>
      <w:bookmarkStart w:id="29" w:name="bookmark34"/>
      <w:bookmarkEnd w:id="29"/>
      <w:bookmarkStart w:id="30" w:name="_Toc14181"/>
      <w:r>
        <w:rPr>
          <w:rFonts w:hint="eastAsia"/>
        </w:rPr>
        <w:t>（一）师资队伍</w:t>
      </w:r>
      <w:bookmarkEnd w:id="30"/>
    </w:p>
    <w:p w14:paraId="4FFBFE2E">
      <w:pPr>
        <w:pStyle w:val="4"/>
        <w:bidi w:val="0"/>
        <w:rPr>
          <w:rFonts w:hint="eastAsia"/>
        </w:rPr>
      </w:pPr>
      <w:r>
        <w:rPr>
          <w:rFonts w:hint="eastAsia"/>
        </w:rPr>
        <w:t>1.师德师风</w:t>
      </w:r>
    </w:p>
    <w:p w14:paraId="31B01F92">
      <w:pPr>
        <w:bidi w:val="0"/>
        <w:rPr>
          <w:rFonts w:hint="eastAsia" w:ascii="仿宋_GB2312" w:hAnsi="仿宋_GB2312" w:eastAsia="仿宋_GB2312" w:cs="仿宋_GB2312"/>
          <w:color w:val="auto"/>
          <w:spacing w:val="3"/>
          <w:szCs w:val="30"/>
        </w:rPr>
      </w:pPr>
      <w:r>
        <w:rPr>
          <w:rFonts w:hint="eastAsia"/>
        </w:rPr>
        <w:t>热爱职业教育事业，具有职业理想、敬业精神和奉献精神，践行社会主义核心价值体系，履行教师职业道德规范，依法执教。立德树人，为人师表，教书育人，自尊自律关爱学生，团结协作。在教育教学岗位上，以人格魅力、学识魅力、职业魅力教育和感染学生，因材施教、以爱育爱，做学生职业生涯发展的指导者和健康成长的引路人，展示出默默奉献的职业精神，争做“四有”好老师。</w:t>
      </w:r>
    </w:p>
    <w:p w14:paraId="54DE976D">
      <w:pPr>
        <w:pStyle w:val="4"/>
        <w:bidi w:val="0"/>
        <w:rPr>
          <w:rFonts w:hint="eastAsia"/>
        </w:rPr>
      </w:pPr>
      <w:r>
        <w:rPr>
          <w:rFonts w:hint="eastAsia"/>
        </w:rPr>
        <w:t>2.专业能力</w:t>
      </w:r>
    </w:p>
    <w:p w14:paraId="4DCC438C">
      <w:pPr>
        <w:bidi w:val="0"/>
        <w:rPr>
          <w:rFonts w:hint="eastAsia"/>
        </w:rPr>
      </w:pPr>
      <w:r>
        <w:rPr>
          <w:rFonts w:hint="eastAsia"/>
        </w:rPr>
        <w:t>（1）专业带头人原则上应具备讲师及以上职称和中级以上职业技能等级证书，拥有民间传统工艺专业视野和实践经验，具有专业前沿知识和先进教育理念，教学水平高、教学管理强，在本区域或本专业领域具有一定的影响力。能广泛联系行业企业，较好地引领专业发展，了解市场对本专业人才的实际需求，潜心课程教学改革，带领教学团队制订高水平的“实施性人才培养方案”具有组织开展学校专业建设、课程建设、教科研工作，能在本专业改革发展中起引领作用。</w:t>
      </w:r>
    </w:p>
    <w:p w14:paraId="340C9100">
      <w:pPr>
        <w:bidi w:val="0"/>
        <w:rPr>
          <w:rFonts w:hint="eastAsia"/>
        </w:rPr>
      </w:pPr>
      <w:r>
        <w:rPr>
          <w:rFonts w:hint="eastAsia"/>
        </w:rPr>
        <w:t>（2）专业</w:t>
      </w:r>
      <w:r>
        <w:rPr>
          <w:rFonts w:hint="eastAsia"/>
          <w:lang w:eastAsia="zh-CN"/>
        </w:rPr>
        <w:t>（</w:t>
      </w:r>
      <w:r>
        <w:rPr>
          <w:rFonts w:hint="eastAsia"/>
        </w:rPr>
        <w:t>技能</w:t>
      </w:r>
      <w:r>
        <w:rPr>
          <w:rFonts w:hint="eastAsia"/>
          <w:lang w:eastAsia="zh-CN"/>
        </w:rPr>
        <w:t>）</w:t>
      </w:r>
      <w:r>
        <w:rPr>
          <w:rFonts w:hint="eastAsia"/>
        </w:rPr>
        <w:t>课程负责人应在该专业的课程教学教育科研、课程开发等方面起到引领作用。要关注学科</w:t>
      </w:r>
      <w:r>
        <w:rPr>
          <w:rFonts w:hint="eastAsia"/>
          <w:lang w:eastAsia="zh-CN"/>
        </w:rPr>
        <w:t>（</w:t>
      </w:r>
      <w:r>
        <w:rPr>
          <w:rFonts w:hint="eastAsia"/>
        </w:rPr>
        <w:t>课程</w:t>
      </w:r>
      <w:r>
        <w:rPr>
          <w:rFonts w:hint="eastAsia"/>
          <w:lang w:eastAsia="zh-CN"/>
        </w:rPr>
        <w:t>）</w:t>
      </w:r>
      <w:r>
        <w:rPr>
          <w:rFonts w:hint="eastAsia"/>
        </w:rPr>
        <w:t>改革和发展状况，熟悉本学科</w:t>
      </w:r>
      <w:r>
        <w:rPr>
          <w:rFonts w:hint="eastAsia"/>
          <w:lang w:eastAsia="zh-CN"/>
        </w:rPr>
        <w:t>（</w:t>
      </w:r>
      <w:r>
        <w:rPr>
          <w:rFonts w:hint="eastAsia"/>
        </w:rPr>
        <w:t>课程</w:t>
      </w:r>
      <w:r>
        <w:rPr>
          <w:rFonts w:hint="eastAsia"/>
          <w:lang w:eastAsia="zh-CN"/>
        </w:rPr>
        <w:t>）</w:t>
      </w:r>
      <w:r>
        <w:rPr>
          <w:rFonts w:hint="eastAsia"/>
        </w:rPr>
        <w:t>的课程标准、教学任务、主要教学内容及要求。具有较强的课程研究能力和实施能力，能组织开展具有一定规模的示范性、观摩性等教研活动，能组织专业团队积极推进课堂教学改革与创新，提升课程建设水平，建设新型教学场景，优化课堂生态，深化信息技术应用，打造优质课堂。</w:t>
      </w:r>
    </w:p>
    <w:p w14:paraId="5C5249FB">
      <w:pPr>
        <w:bidi w:val="0"/>
        <w:rPr>
          <w:rFonts w:hint="eastAsia"/>
        </w:rPr>
      </w:pPr>
      <w:r>
        <w:rPr>
          <w:rFonts w:hint="eastAsia"/>
        </w:rPr>
        <w:t>（3）专任教师应具有中等职业学校教师资格证书和与任教学科相符的专业背景，熟悉教育教学规律，对任教课程有较为全面理解，具备较强的学情分析、教学目标设定、教学设计、教案撰写、教学策略选择、教学实施和评价能力，能运用信息化教学手段,合理使用信息化资源，注重教学反思，关注教学目标达成，持续改进教学效果；能积极开展课程教学改革和实施，具备一定的课程开发能力。专业教师应具有良好的专业知识和实践能力，能开展理实一体教学活动及实践技能示范教学，参加项目研究及教学竞赛、技能竞赛等活动，能开发具专业特色的校本教材。</w:t>
      </w:r>
    </w:p>
    <w:p w14:paraId="7FA09A8E">
      <w:pPr>
        <w:bidi w:val="0"/>
        <w:rPr>
          <w:rFonts w:hint="eastAsia" w:ascii="仿宋_GB2312" w:hAnsi="仿宋_GB2312" w:eastAsia="仿宋_GB2312" w:cs="仿宋_GB2312"/>
          <w:color w:val="auto"/>
          <w:spacing w:val="3"/>
          <w:szCs w:val="30"/>
        </w:rPr>
      </w:pPr>
      <w:r>
        <w:rPr>
          <w:rFonts w:hint="eastAsia"/>
        </w:rPr>
        <w:t>（4）“双师型”教师应取得国家或市级以上相关规定的职业资格或非教师系列的专业技术职称，如包含市级以上工艺美术行业资格认定并颁发的与本专业有关的中、高级职业技能等级证书或职业资格证书。兼职教师须经过教学能力专项培训，并取得合格证书。</w:t>
      </w:r>
    </w:p>
    <w:p w14:paraId="3487B546">
      <w:pPr>
        <w:pStyle w:val="4"/>
        <w:bidi w:val="0"/>
        <w:rPr>
          <w:rFonts w:hint="eastAsia"/>
        </w:rPr>
      </w:pPr>
      <w:r>
        <w:rPr>
          <w:rFonts w:hint="eastAsia"/>
        </w:rPr>
        <w:t>3.团队建设</w:t>
      </w:r>
    </w:p>
    <w:p w14:paraId="2C02EA27">
      <w:pPr>
        <w:bidi w:val="0"/>
        <w:rPr>
          <w:rFonts w:hint="eastAsia" w:ascii="仿宋_GB2312" w:hAnsi="仿宋_GB2312" w:eastAsia="仿宋_GB2312" w:cs="仿宋_GB2312"/>
          <w:color w:val="auto"/>
          <w:spacing w:val="11"/>
          <w:szCs w:val="30"/>
        </w:rPr>
      </w:pPr>
      <w:r>
        <w:rPr>
          <w:rFonts w:hint="eastAsia"/>
        </w:rPr>
        <w:t>专任专业教师与在籍学生的师生比，本科学历、研究生学历、高级职称的比例，专任专业教师高级以上职业技能等级证书或非教师系列专业技术中级以上职称的比例，应符合国家、省关于中等职业学校设置和专业建设的相关标准要求和具体规定。专任专业教师中应具有来自不同专业背景的专业水平高的专任专业教师，建设符合项目式、模块化教学需要的课程负责人领衔的、跨学科领域的、专兼结合的教学创新团队,实现知识、技能和实践经验的优质互补和跨界融合，不断优化教师团队能力结构，以团队协作的方式开展教学、提升质量。</w:t>
      </w:r>
    </w:p>
    <w:p w14:paraId="1E111688">
      <w:pPr>
        <w:pStyle w:val="3"/>
        <w:bidi w:val="0"/>
        <w:rPr>
          <w:rFonts w:hint="eastAsia"/>
        </w:rPr>
      </w:pPr>
      <w:bookmarkStart w:id="31" w:name="_Toc25186"/>
      <w:r>
        <w:rPr>
          <w:rFonts w:hint="eastAsia"/>
        </w:rPr>
        <w:t>（二）教学设施</w:t>
      </w:r>
      <w:bookmarkEnd w:id="31"/>
    </w:p>
    <w:p w14:paraId="03BEABAB">
      <w:pPr>
        <w:bidi w:val="0"/>
        <w:rPr>
          <w:rFonts w:hint="eastAsia"/>
        </w:rPr>
      </w:pPr>
      <w:r>
        <w:rPr>
          <w:rFonts w:hint="eastAsia"/>
        </w:rPr>
        <w:t>主要包括能够满足正常的课程教学、实习实训所需的专业教室、实训室和实习实训基地。</w:t>
      </w:r>
    </w:p>
    <w:p w14:paraId="1E24176B">
      <w:pPr>
        <w:keepNext w:val="0"/>
        <w:keepLines w:val="0"/>
        <w:pageBreakBefore w:val="0"/>
        <w:numPr>
          <w:ilvl w:val="0"/>
          <w:numId w:val="0"/>
        </w:numPr>
        <w:wordWrap/>
        <w:overflowPunct/>
        <w:topLinePunct w:val="0"/>
        <w:bidi w:val="0"/>
        <w:spacing w:line="540" w:lineRule="exact"/>
        <w:ind w:leftChars="200"/>
        <w:jc w:val="center"/>
        <w:rPr>
          <w:rFonts w:hint="eastAsia" w:ascii="仿宋_GB2312" w:hAnsi="仿宋_GB2312" w:eastAsia="仿宋_GB2312" w:cs="仿宋_GB2312"/>
          <w:color w:val="auto"/>
          <w:spacing w:val="6"/>
          <w:sz w:val="30"/>
          <w:szCs w:val="30"/>
          <w:lang w:val="en-US" w:eastAsia="zh-CN"/>
        </w:rPr>
      </w:pPr>
      <w:r>
        <w:rPr>
          <w:rFonts w:hint="eastAsia" w:ascii="仿宋_GB2312" w:hAnsi="仿宋_GB2312" w:eastAsia="仿宋_GB2312" w:cs="仿宋_GB2312"/>
          <w:color w:val="auto"/>
          <w:spacing w:val="6"/>
          <w:sz w:val="30"/>
          <w:szCs w:val="30"/>
        </w:rPr>
        <w:t>校内实训</w:t>
      </w:r>
      <w:r>
        <w:rPr>
          <w:rFonts w:hint="eastAsia" w:ascii="仿宋_GB2312" w:hAnsi="仿宋_GB2312" w:eastAsia="仿宋_GB2312" w:cs="仿宋_GB2312"/>
          <w:color w:val="auto"/>
          <w:spacing w:val="6"/>
          <w:sz w:val="30"/>
          <w:szCs w:val="30"/>
          <w:lang w:val="en-US" w:eastAsia="zh-CN"/>
        </w:rPr>
        <w:t>条件</w:t>
      </w:r>
    </w:p>
    <w:tbl>
      <w:tblPr>
        <w:tblStyle w:val="16"/>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8"/>
        <w:gridCol w:w="1650"/>
        <w:gridCol w:w="1233"/>
        <w:gridCol w:w="2873"/>
        <w:gridCol w:w="1635"/>
        <w:gridCol w:w="1451"/>
      </w:tblGrid>
      <w:tr w14:paraId="6B899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jc w:val="center"/>
        </w:trPr>
        <w:tc>
          <w:tcPr>
            <w:tcW w:w="438" w:type="dxa"/>
            <w:vAlign w:val="center"/>
          </w:tcPr>
          <w:p w14:paraId="42D85904">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5"/>
                <w:sz w:val="24"/>
                <w:szCs w:val="24"/>
              </w:rPr>
              <w:t>序号</w:t>
            </w:r>
          </w:p>
        </w:tc>
        <w:tc>
          <w:tcPr>
            <w:tcW w:w="1650" w:type="dxa"/>
            <w:vAlign w:val="center"/>
          </w:tcPr>
          <w:p w14:paraId="44DFDB0D">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6"/>
                <w:sz w:val="24"/>
                <w:szCs w:val="24"/>
              </w:rPr>
              <w:t>实训室名称</w:t>
            </w:r>
          </w:p>
        </w:tc>
        <w:tc>
          <w:tcPr>
            <w:tcW w:w="1233" w:type="dxa"/>
            <w:vAlign w:val="center"/>
          </w:tcPr>
          <w:p w14:paraId="7D8FD948">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10"/>
                <w:sz w:val="24"/>
                <w:szCs w:val="24"/>
              </w:rPr>
              <w:t>工位</w:t>
            </w:r>
            <w:r>
              <w:rPr>
                <w:rFonts w:hint="eastAsia" w:ascii="仿宋_GB2312" w:hAnsi="仿宋_GB2312" w:eastAsia="仿宋_GB2312" w:cs="仿宋_GB2312"/>
                <w:b/>
                <w:bCs/>
                <w:color w:val="auto"/>
                <w:spacing w:val="-2"/>
                <w:sz w:val="24"/>
                <w:szCs w:val="24"/>
              </w:rPr>
              <w:t>（人）</w:t>
            </w:r>
          </w:p>
        </w:tc>
        <w:tc>
          <w:tcPr>
            <w:tcW w:w="2873" w:type="dxa"/>
            <w:vAlign w:val="center"/>
          </w:tcPr>
          <w:p w14:paraId="41E600B5">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bCs/>
                <w:color w:val="auto"/>
                <w:spacing w:val="-4"/>
                <w:sz w:val="24"/>
                <w:szCs w:val="24"/>
                <w:lang w:val="en-US" w:eastAsia="zh-CN"/>
              </w:rPr>
              <w:t>主要设备及软件</w:t>
            </w:r>
          </w:p>
        </w:tc>
        <w:tc>
          <w:tcPr>
            <w:tcW w:w="1635" w:type="dxa"/>
            <w:vAlign w:val="center"/>
          </w:tcPr>
          <w:p w14:paraId="5BD46D79">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5"/>
                <w:sz w:val="24"/>
                <w:szCs w:val="24"/>
              </w:rPr>
              <w:t>主要实训项目</w:t>
            </w:r>
          </w:p>
        </w:tc>
        <w:tc>
          <w:tcPr>
            <w:tcW w:w="1451" w:type="dxa"/>
            <w:vAlign w:val="center"/>
          </w:tcPr>
          <w:p w14:paraId="6C4F6F55">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b/>
                <w:bCs/>
                <w:color w:val="auto"/>
                <w:spacing w:val="-5"/>
                <w:sz w:val="24"/>
                <w:szCs w:val="24"/>
              </w:rPr>
              <w:t>服务课程</w:t>
            </w:r>
          </w:p>
        </w:tc>
      </w:tr>
      <w:tr w14:paraId="01784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3" w:hRule="atLeast"/>
          <w:jc w:val="center"/>
        </w:trPr>
        <w:tc>
          <w:tcPr>
            <w:tcW w:w="438" w:type="dxa"/>
            <w:vAlign w:val="center"/>
          </w:tcPr>
          <w:p w14:paraId="3FD99540">
            <w:pPr>
              <w:pStyle w:val="15"/>
              <w:keepNext w:val="0"/>
              <w:keepLines w:val="0"/>
              <w:pageBreakBefore w:val="0"/>
              <w:widowControl w:val="0"/>
              <w:kinsoku/>
              <w:wordWrap/>
              <w:overflowPunct/>
              <w:topLinePunct w:val="0"/>
              <w:autoSpaceDE/>
              <w:autoSpaceDN/>
              <w:bidi w:val="0"/>
              <w:adjustRightInd/>
              <w:snapToGrid/>
              <w:spacing w:line="520" w:lineRule="exact"/>
              <w:ind w:left="0" w:leftChars="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w:t>
            </w:r>
          </w:p>
        </w:tc>
        <w:tc>
          <w:tcPr>
            <w:tcW w:w="1650" w:type="dxa"/>
            <w:vAlign w:val="center"/>
          </w:tcPr>
          <w:p w14:paraId="570FFB05">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木雕室</w:t>
            </w:r>
          </w:p>
        </w:tc>
        <w:tc>
          <w:tcPr>
            <w:tcW w:w="1233" w:type="dxa"/>
            <w:vAlign w:val="center"/>
          </w:tcPr>
          <w:p w14:paraId="23F96DA9">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default" w:ascii="仿宋_GB2312" w:hAnsi="仿宋_GB2312" w:eastAsia="仿宋_GB2312" w:cs="仿宋_GB2312"/>
                <w:color w:val="auto"/>
                <w:sz w:val="24"/>
                <w:szCs w:val="24"/>
                <w:lang w:val="en-US"/>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51AE6431">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配备</w:t>
            </w:r>
            <w:r>
              <w:rPr>
                <w:rFonts w:hint="default" w:ascii="仿宋_GB2312" w:hAnsi="仿宋_GB2312" w:eastAsia="仿宋_GB2312" w:cs="仿宋_GB2312"/>
                <w:color w:val="auto"/>
                <w:sz w:val="24"/>
                <w:szCs w:val="24"/>
                <w:lang w:val="en-US" w:eastAsia="zh-CN"/>
              </w:rPr>
              <w:t>线切割机</w:t>
            </w:r>
            <w:r>
              <w:rPr>
                <w:rFonts w:hint="eastAsia" w:ascii="仿宋_GB2312" w:hAnsi="仿宋_GB2312" w:eastAsia="仿宋_GB2312" w:cs="仿宋_GB2312"/>
                <w:color w:val="auto"/>
                <w:sz w:val="24"/>
                <w:szCs w:val="24"/>
                <w:lang w:val="en-US" w:eastAsia="zh-CN"/>
              </w:rPr>
              <w:t>1台</w:t>
            </w:r>
            <w:r>
              <w:rPr>
                <w:rFonts w:hint="default" w:ascii="仿宋_GB2312" w:hAnsi="仿宋_GB2312" w:eastAsia="仿宋_GB2312" w:cs="仿宋_GB2312"/>
                <w:color w:val="auto"/>
                <w:sz w:val="24"/>
                <w:szCs w:val="24"/>
                <w:lang w:val="en-US" w:eastAsia="zh-CN"/>
              </w:rPr>
              <w:t>、台虎钳</w:t>
            </w:r>
            <w:r>
              <w:rPr>
                <w:rFonts w:hint="eastAsia" w:ascii="仿宋_GB2312" w:hAnsi="仿宋_GB2312" w:eastAsia="仿宋_GB2312" w:cs="仿宋_GB2312"/>
                <w:color w:val="auto"/>
                <w:sz w:val="24"/>
                <w:szCs w:val="24"/>
                <w:lang w:val="en-US" w:eastAsia="zh-CN"/>
              </w:rPr>
              <w:t>2个</w:t>
            </w:r>
            <w:r>
              <w:rPr>
                <w:rFonts w:hint="default" w:ascii="仿宋_GB2312" w:hAnsi="仿宋_GB2312" w:eastAsia="仿宋_GB2312" w:cs="仿宋_GB2312"/>
                <w:color w:val="auto"/>
                <w:sz w:val="24"/>
                <w:szCs w:val="24"/>
                <w:lang w:val="en-US" w:eastAsia="zh-CN"/>
              </w:rPr>
              <w:t>、吸尘机</w:t>
            </w:r>
            <w:r>
              <w:rPr>
                <w:rFonts w:hint="eastAsia" w:ascii="仿宋_GB2312" w:hAnsi="仿宋_GB2312" w:eastAsia="仿宋_GB2312" w:cs="仿宋_GB2312"/>
                <w:color w:val="auto"/>
                <w:sz w:val="24"/>
                <w:szCs w:val="24"/>
                <w:lang w:val="en-US" w:eastAsia="zh-CN"/>
              </w:rPr>
              <w:t>1台</w:t>
            </w:r>
            <w:r>
              <w:rPr>
                <w:rFonts w:hint="default" w:ascii="仿宋_GB2312" w:hAnsi="仿宋_GB2312" w:eastAsia="仿宋_GB2312" w:cs="仿宋_GB2312"/>
                <w:color w:val="auto"/>
                <w:sz w:val="24"/>
                <w:szCs w:val="24"/>
                <w:lang w:val="en-US" w:eastAsia="zh-CN"/>
              </w:rPr>
              <w:t>、空气压缩机</w:t>
            </w:r>
            <w:r>
              <w:rPr>
                <w:rFonts w:hint="eastAsia" w:ascii="仿宋_GB2312" w:hAnsi="仿宋_GB2312" w:eastAsia="仿宋_GB2312" w:cs="仿宋_GB2312"/>
                <w:color w:val="auto"/>
                <w:sz w:val="24"/>
                <w:szCs w:val="24"/>
                <w:lang w:val="en-US" w:eastAsia="zh-CN"/>
              </w:rPr>
              <w:t>1台</w:t>
            </w:r>
            <w:r>
              <w:rPr>
                <w:rFonts w:hint="default" w:ascii="仿宋_GB2312" w:hAnsi="仿宋_GB2312" w:eastAsia="仿宋_GB2312" w:cs="仿宋_GB2312"/>
                <w:color w:val="auto"/>
                <w:sz w:val="24"/>
                <w:szCs w:val="24"/>
                <w:lang w:val="en-US" w:eastAsia="zh-CN"/>
              </w:rPr>
              <w:t>、</w:t>
            </w:r>
            <w:r>
              <w:rPr>
                <w:rFonts w:hint="eastAsia" w:ascii="仿宋_GB2312" w:hAnsi="仿宋_GB2312" w:eastAsia="仿宋_GB2312" w:cs="仿宋_GB2312"/>
                <w:color w:val="auto"/>
                <w:sz w:val="24"/>
                <w:szCs w:val="24"/>
                <w:lang w:val="en-US" w:eastAsia="zh-CN"/>
              </w:rPr>
              <w:t>木工台锯机1台、木工车床2台、木工雕刻机1台。</w:t>
            </w:r>
          </w:p>
        </w:tc>
        <w:tc>
          <w:tcPr>
            <w:tcW w:w="1635" w:type="dxa"/>
            <w:vAlign w:val="center"/>
          </w:tcPr>
          <w:p w14:paraId="46E6B45D">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木雕课程教学与实训</w:t>
            </w:r>
          </w:p>
        </w:tc>
        <w:tc>
          <w:tcPr>
            <w:tcW w:w="1451" w:type="dxa"/>
            <w:vAlign w:val="center"/>
          </w:tcPr>
          <w:p w14:paraId="74C3CE71">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eastAsia" w:ascii="仿宋_GB2312" w:hAnsi="仿宋_GB2312" w:eastAsia="仿宋_GB2312" w:cs="仿宋_GB2312"/>
                <w:color w:val="auto"/>
                <w:sz w:val="24"/>
                <w:szCs w:val="24"/>
                <w:lang w:val="en-US" w:eastAsia="zh-CN"/>
              </w:rPr>
            </w:pPr>
          </w:p>
          <w:p w14:paraId="1665ECD7">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木雕</w:t>
            </w:r>
          </w:p>
        </w:tc>
      </w:tr>
      <w:tr w14:paraId="00D82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jc w:val="center"/>
        </w:trPr>
        <w:tc>
          <w:tcPr>
            <w:tcW w:w="438" w:type="dxa"/>
            <w:vAlign w:val="center"/>
          </w:tcPr>
          <w:p w14:paraId="16D13512">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w:t>
            </w:r>
          </w:p>
        </w:tc>
        <w:tc>
          <w:tcPr>
            <w:tcW w:w="1650" w:type="dxa"/>
            <w:vAlign w:val="center"/>
          </w:tcPr>
          <w:p w14:paraId="3B1F6D34">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陶艺室</w:t>
            </w:r>
          </w:p>
        </w:tc>
        <w:tc>
          <w:tcPr>
            <w:tcW w:w="1233" w:type="dxa"/>
            <w:vAlign w:val="center"/>
          </w:tcPr>
          <w:p w14:paraId="223AB7B5">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1038A3AD">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配备</w:t>
            </w:r>
            <w:r>
              <w:rPr>
                <w:rFonts w:hint="default" w:ascii="仿宋_GB2312" w:hAnsi="仿宋_GB2312" w:eastAsia="仿宋_GB2312" w:cs="仿宋_GB2312"/>
                <w:color w:val="auto"/>
                <w:sz w:val="24"/>
                <w:szCs w:val="24"/>
                <w:lang w:val="en-US" w:eastAsia="zh-CN"/>
              </w:rPr>
              <w:t>拉坯机</w:t>
            </w:r>
            <w:r>
              <w:rPr>
                <w:rFonts w:hint="eastAsia" w:ascii="仿宋_GB2312" w:hAnsi="仿宋_GB2312" w:eastAsia="仿宋_GB2312" w:cs="仿宋_GB2312"/>
                <w:color w:val="auto"/>
                <w:sz w:val="24"/>
                <w:szCs w:val="24"/>
                <w:lang w:val="en-US" w:eastAsia="zh-CN"/>
              </w:rPr>
              <w:t>29台</w:t>
            </w:r>
            <w:r>
              <w:rPr>
                <w:rFonts w:hint="default" w:ascii="仿宋_GB2312" w:hAnsi="仿宋_GB2312" w:eastAsia="仿宋_GB2312" w:cs="仿宋_GB2312"/>
                <w:color w:val="auto"/>
                <w:sz w:val="24"/>
                <w:szCs w:val="24"/>
                <w:lang w:val="en-US" w:eastAsia="zh-CN"/>
              </w:rPr>
              <w:t>、制陶电脑立窑</w:t>
            </w:r>
            <w:r>
              <w:rPr>
                <w:rFonts w:hint="eastAsia" w:ascii="仿宋_GB2312" w:hAnsi="仿宋_GB2312" w:eastAsia="仿宋_GB2312" w:cs="仿宋_GB2312"/>
                <w:color w:val="auto"/>
                <w:sz w:val="24"/>
                <w:szCs w:val="24"/>
                <w:lang w:val="en-US" w:eastAsia="zh-CN"/>
              </w:rPr>
              <w:t>2座</w:t>
            </w:r>
            <w:r>
              <w:rPr>
                <w:rFonts w:hint="default" w:ascii="仿宋_GB2312" w:hAnsi="仿宋_GB2312" w:eastAsia="仿宋_GB2312" w:cs="仿宋_GB2312"/>
                <w:color w:val="auto"/>
                <w:sz w:val="24"/>
                <w:szCs w:val="24"/>
                <w:lang w:val="en-US" w:eastAsia="zh-CN"/>
              </w:rPr>
              <w:t>、真空注蜡机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冲胚机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搅拌机械泥浆机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泥板机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油漆震荡器</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除油清洗封闭</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着色恒温仪</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带式砂光机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油水分离器</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水洗式吸尘喷釉台</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燃气梭式窑</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单刀旋坯成型机</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液相大气瓶</w:t>
            </w:r>
            <w:r>
              <w:rPr>
                <w:rFonts w:hint="eastAsia" w:ascii="仿宋_GB2312" w:hAnsi="仿宋_GB2312" w:eastAsia="仿宋_GB2312" w:cs="仿宋_GB2312"/>
                <w:color w:val="auto"/>
                <w:sz w:val="24"/>
                <w:szCs w:val="24"/>
                <w:lang w:val="en-US" w:eastAsia="zh-CN"/>
              </w:rPr>
              <w:t>、</w:t>
            </w:r>
            <w:r>
              <w:rPr>
                <w:rFonts w:hint="default" w:ascii="仿宋_GB2312" w:hAnsi="仿宋_GB2312" w:eastAsia="仿宋_GB2312" w:cs="仿宋_GB2312"/>
                <w:color w:val="auto"/>
                <w:sz w:val="24"/>
                <w:szCs w:val="24"/>
                <w:lang w:val="en-US" w:eastAsia="zh-CN"/>
              </w:rPr>
              <w:t>其他电炉-工业烤箱</w:t>
            </w:r>
            <w:r>
              <w:rPr>
                <w:rFonts w:hint="eastAsia" w:ascii="仿宋_GB2312" w:hAnsi="仿宋_GB2312" w:eastAsia="仿宋_GB2312" w:cs="仿宋_GB2312"/>
                <w:color w:val="auto"/>
                <w:sz w:val="24"/>
                <w:szCs w:val="24"/>
                <w:lang w:val="en-US" w:eastAsia="zh-CN"/>
              </w:rPr>
              <w:t>各1台、</w:t>
            </w:r>
            <w:r>
              <w:rPr>
                <w:rFonts w:hint="default" w:ascii="仿宋_GB2312" w:hAnsi="仿宋_GB2312" w:eastAsia="仿宋_GB2312" w:cs="仿宋_GB2312"/>
                <w:color w:val="auto"/>
                <w:sz w:val="24"/>
                <w:szCs w:val="24"/>
                <w:lang w:val="en-US" w:eastAsia="zh-CN"/>
              </w:rPr>
              <w:t>练泥机</w:t>
            </w:r>
            <w:r>
              <w:rPr>
                <w:rFonts w:hint="eastAsia" w:ascii="仿宋_GB2312" w:hAnsi="仿宋_GB2312" w:eastAsia="仿宋_GB2312" w:cs="仿宋_GB2312"/>
                <w:color w:val="auto"/>
                <w:sz w:val="24"/>
                <w:szCs w:val="24"/>
                <w:lang w:val="en-US" w:eastAsia="zh-CN"/>
              </w:rPr>
              <w:t>2台、</w:t>
            </w:r>
            <w:r>
              <w:rPr>
                <w:rFonts w:hint="default" w:ascii="仿宋_GB2312" w:hAnsi="仿宋_GB2312" w:eastAsia="仿宋_GB2312" w:cs="仿宋_GB2312"/>
                <w:color w:val="auto"/>
                <w:sz w:val="24"/>
                <w:szCs w:val="24"/>
                <w:lang w:val="en-US" w:eastAsia="zh-CN"/>
              </w:rPr>
              <w:t>小型溶金机</w:t>
            </w:r>
            <w:r>
              <w:rPr>
                <w:rFonts w:hint="eastAsia" w:ascii="仿宋_GB2312" w:hAnsi="仿宋_GB2312" w:eastAsia="仿宋_GB2312" w:cs="仿宋_GB2312"/>
                <w:color w:val="auto"/>
                <w:sz w:val="24"/>
                <w:szCs w:val="24"/>
                <w:lang w:val="en-US" w:eastAsia="zh-CN"/>
              </w:rPr>
              <w:t>2台、</w:t>
            </w:r>
            <w:r>
              <w:rPr>
                <w:rFonts w:hint="default" w:ascii="仿宋_GB2312" w:hAnsi="仿宋_GB2312" w:eastAsia="仿宋_GB2312" w:cs="仿宋_GB2312"/>
                <w:color w:val="auto"/>
                <w:sz w:val="24"/>
                <w:szCs w:val="24"/>
                <w:lang w:val="en-US" w:eastAsia="zh-CN"/>
              </w:rPr>
              <w:t>球磨机</w:t>
            </w:r>
            <w:r>
              <w:rPr>
                <w:rFonts w:hint="eastAsia" w:ascii="仿宋_GB2312" w:hAnsi="仿宋_GB2312" w:eastAsia="仿宋_GB2312" w:cs="仿宋_GB2312"/>
                <w:color w:val="auto"/>
                <w:sz w:val="24"/>
                <w:szCs w:val="24"/>
                <w:lang w:val="en-US" w:eastAsia="zh-CN"/>
              </w:rPr>
              <w:t>3台</w:t>
            </w:r>
          </w:p>
        </w:tc>
        <w:tc>
          <w:tcPr>
            <w:tcW w:w="1635" w:type="dxa"/>
            <w:vAlign w:val="center"/>
          </w:tcPr>
          <w:p w14:paraId="6374E02F">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陶艺、泥塑、装饰浮雕课程教学与实训</w:t>
            </w:r>
          </w:p>
        </w:tc>
        <w:tc>
          <w:tcPr>
            <w:tcW w:w="1451" w:type="dxa"/>
            <w:vAlign w:val="center"/>
          </w:tcPr>
          <w:p w14:paraId="12BF24EA">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陶艺、泥塑、装饰浮雕</w:t>
            </w:r>
          </w:p>
        </w:tc>
      </w:tr>
      <w:tr w14:paraId="2540B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438" w:type="dxa"/>
            <w:vAlign w:val="center"/>
          </w:tcPr>
          <w:p w14:paraId="63CCDEEC">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position w:val="1"/>
                <w:sz w:val="24"/>
                <w:szCs w:val="24"/>
              </w:rPr>
              <w:t>3</w:t>
            </w:r>
          </w:p>
        </w:tc>
        <w:tc>
          <w:tcPr>
            <w:tcW w:w="1650" w:type="dxa"/>
            <w:vAlign w:val="center"/>
          </w:tcPr>
          <w:p w14:paraId="5432B172">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铝工艺</w:t>
            </w:r>
            <w:r>
              <w:rPr>
                <w:rFonts w:hint="eastAsia" w:ascii="仿宋_GB2312" w:hAnsi="仿宋_GB2312" w:eastAsia="仿宋_GB2312" w:cs="仿宋_GB2312"/>
                <w:color w:val="auto"/>
                <w:sz w:val="24"/>
                <w:szCs w:val="24"/>
                <w:lang w:val="en-US" w:eastAsia="zh-CN"/>
              </w:rPr>
              <w:t>实训室</w:t>
            </w:r>
          </w:p>
        </w:tc>
        <w:tc>
          <w:tcPr>
            <w:tcW w:w="1233" w:type="dxa"/>
            <w:vAlign w:val="center"/>
          </w:tcPr>
          <w:p w14:paraId="24DA4E94">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7A44CCA1">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冷却槽</w:t>
            </w:r>
            <w:r>
              <w:rPr>
                <w:rFonts w:hint="eastAsia" w:ascii="仿宋_GB2312" w:hAnsi="仿宋_GB2312" w:eastAsia="仿宋_GB2312" w:cs="仿宋_GB2312"/>
                <w:color w:val="auto"/>
                <w:sz w:val="24"/>
                <w:szCs w:val="24"/>
                <w:lang w:val="en-US" w:eastAsia="zh-CN"/>
              </w:rPr>
              <w:t>1个</w:t>
            </w:r>
            <w:r>
              <w:rPr>
                <w:rFonts w:hint="default" w:ascii="仿宋_GB2312" w:hAnsi="仿宋_GB2312" w:eastAsia="仿宋_GB2312" w:cs="仿宋_GB2312"/>
                <w:color w:val="auto"/>
                <w:sz w:val="24"/>
                <w:szCs w:val="24"/>
                <w:lang w:val="en-US" w:eastAsia="zh-CN"/>
              </w:rPr>
              <w:t>、氧化槽</w:t>
            </w:r>
            <w:r>
              <w:rPr>
                <w:rFonts w:hint="eastAsia" w:ascii="仿宋_GB2312" w:hAnsi="仿宋_GB2312" w:eastAsia="仿宋_GB2312" w:cs="仿宋_GB2312"/>
                <w:color w:val="auto"/>
                <w:sz w:val="24"/>
                <w:szCs w:val="24"/>
                <w:lang w:val="en-US" w:eastAsia="zh-CN"/>
              </w:rPr>
              <w:t>1个</w:t>
            </w:r>
            <w:r>
              <w:rPr>
                <w:rFonts w:hint="default" w:ascii="仿宋_GB2312" w:hAnsi="仿宋_GB2312" w:eastAsia="仿宋_GB2312" w:cs="仿宋_GB2312"/>
                <w:color w:val="auto"/>
                <w:sz w:val="24"/>
                <w:szCs w:val="24"/>
                <w:lang w:val="en-US" w:eastAsia="zh-CN"/>
              </w:rPr>
              <w:t>、固色槽</w:t>
            </w:r>
            <w:r>
              <w:rPr>
                <w:rFonts w:hint="eastAsia" w:ascii="仿宋_GB2312" w:hAnsi="仿宋_GB2312" w:eastAsia="仿宋_GB2312" w:cs="仿宋_GB2312"/>
                <w:color w:val="auto"/>
                <w:sz w:val="24"/>
                <w:szCs w:val="24"/>
                <w:lang w:val="en-US" w:eastAsia="zh-CN"/>
              </w:rPr>
              <w:t>1个</w:t>
            </w:r>
            <w:r>
              <w:rPr>
                <w:rFonts w:hint="default" w:ascii="仿宋_GB2312" w:hAnsi="仿宋_GB2312" w:eastAsia="仿宋_GB2312" w:cs="仿宋_GB2312"/>
                <w:color w:val="auto"/>
                <w:sz w:val="24"/>
                <w:szCs w:val="24"/>
                <w:lang w:val="en-US" w:eastAsia="zh-CN"/>
              </w:rPr>
              <w:t>、多功能电焊机</w:t>
            </w:r>
            <w:r>
              <w:rPr>
                <w:rFonts w:hint="eastAsia" w:ascii="仿宋_GB2312" w:hAnsi="仿宋_GB2312" w:eastAsia="仿宋_GB2312" w:cs="仿宋_GB2312"/>
                <w:color w:val="auto"/>
                <w:sz w:val="24"/>
                <w:szCs w:val="24"/>
                <w:lang w:val="en-US" w:eastAsia="zh-CN"/>
              </w:rPr>
              <w:t>1台</w:t>
            </w:r>
            <w:r>
              <w:rPr>
                <w:rFonts w:hint="default" w:ascii="仿宋_GB2312" w:hAnsi="仿宋_GB2312" w:eastAsia="仿宋_GB2312" w:cs="仿宋_GB2312"/>
                <w:color w:val="auto"/>
                <w:sz w:val="24"/>
                <w:szCs w:val="24"/>
                <w:lang w:val="en-US" w:eastAsia="zh-CN"/>
              </w:rPr>
              <w:t>、手动冲压机、微型雕刻机、液压机</w:t>
            </w:r>
            <w:r>
              <w:rPr>
                <w:rFonts w:hint="eastAsia" w:ascii="仿宋_GB2312" w:hAnsi="仿宋_GB2312" w:eastAsia="仿宋_GB2312" w:cs="仿宋_GB2312"/>
                <w:color w:val="auto"/>
                <w:sz w:val="24"/>
                <w:szCs w:val="24"/>
                <w:lang w:val="en-US" w:eastAsia="zh-CN"/>
              </w:rPr>
              <w:t>1台</w:t>
            </w:r>
          </w:p>
        </w:tc>
        <w:tc>
          <w:tcPr>
            <w:tcW w:w="1635" w:type="dxa"/>
            <w:vAlign w:val="center"/>
          </w:tcPr>
          <w:p w14:paraId="0B580069">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铝工艺</w:t>
            </w:r>
            <w:r>
              <w:rPr>
                <w:rFonts w:hint="eastAsia" w:ascii="仿宋_GB2312" w:hAnsi="仿宋_GB2312" w:eastAsia="仿宋_GB2312" w:cs="仿宋_GB2312"/>
                <w:color w:val="auto"/>
                <w:sz w:val="24"/>
                <w:szCs w:val="24"/>
                <w:lang w:val="en-US" w:eastAsia="zh-CN"/>
              </w:rPr>
              <w:t>课程教学与实训</w:t>
            </w:r>
          </w:p>
        </w:tc>
        <w:tc>
          <w:tcPr>
            <w:tcW w:w="1451" w:type="dxa"/>
            <w:vAlign w:val="center"/>
          </w:tcPr>
          <w:p w14:paraId="21E5D766">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课程教学与实训</w:t>
            </w:r>
          </w:p>
        </w:tc>
      </w:tr>
      <w:tr w14:paraId="5DE0B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jc w:val="center"/>
        </w:trPr>
        <w:tc>
          <w:tcPr>
            <w:tcW w:w="438" w:type="dxa"/>
            <w:vAlign w:val="center"/>
          </w:tcPr>
          <w:p w14:paraId="6970FB7A">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position w:val="1"/>
                <w:sz w:val="24"/>
                <w:szCs w:val="24"/>
                <w:lang w:val="en-US" w:eastAsia="zh-CN"/>
              </w:rPr>
            </w:pPr>
            <w:r>
              <w:rPr>
                <w:rFonts w:hint="eastAsia" w:ascii="仿宋_GB2312" w:hAnsi="仿宋_GB2312" w:eastAsia="仿宋_GB2312" w:cs="仿宋_GB2312"/>
                <w:color w:val="auto"/>
                <w:position w:val="1"/>
                <w:sz w:val="24"/>
                <w:szCs w:val="24"/>
                <w:lang w:val="en-US" w:eastAsia="zh-CN"/>
              </w:rPr>
              <w:t>4</w:t>
            </w:r>
          </w:p>
        </w:tc>
        <w:tc>
          <w:tcPr>
            <w:tcW w:w="1650" w:type="dxa"/>
            <w:vAlign w:val="center"/>
          </w:tcPr>
          <w:p w14:paraId="3553FB4B">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编结室</w:t>
            </w:r>
          </w:p>
        </w:tc>
        <w:tc>
          <w:tcPr>
            <w:tcW w:w="1233" w:type="dxa"/>
            <w:vAlign w:val="center"/>
          </w:tcPr>
          <w:p w14:paraId="53F31E46">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default" w:ascii="仿宋_GB2312" w:hAnsi="仿宋_GB2312" w:eastAsia="仿宋_GB2312" w:cs="仿宋_GB2312"/>
                <w:color w:val="auto"/>
                <w:spacing w:val="-6"/>
                <w:position w:val="1"/>
                <w:sz w:val="24"/>
                <w:szCs w:val="24"/>
                <w:lang w:val="en-US" w:eastAsia="zh-CN"/>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1B3ACDCC">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教学用具纺织柜</w:t>
            </w:r>
            <w:r>
              <w:rPr>
                <w:rFonts w:hint="eastAsia" w:ascii="仿宋_GB2312" w:hAnsi="仿宋_GB2312" w:eastAsia="仿宋_GB2312" w:cs="仿宋_GB2312"/>
                <w:color w:val="auto"/>
                <w:sz w:val="24"/>
                <w:szCs w:val="24"/>
                <w:lang w:val="en-US" w:eastAsia="zh-CN"/>
              </w:rPr>
              <w:t>15件</w:t>
            </w:r>
          </w:p>
        </w:tc>
        <w:tc>
          <w:tcPr>
            <w:tcW w:w="1635" w:type="dxa"/>
            <w:vAlign w:val="center"/>
          </w:tcPr>
          <w:p w14:paraId="74E5715B">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手工编结课程实训教学</w:t>
            </w:r>
          </w:p>
        </w:tc>
        <w:tc>
          <w:tcPr>
            <w:tcW w:w="1451" w:type="dxa"/>
            <w:vAlign w:val="center"/>
          </w:tcPr>
          <w:p w14:paraId="667CA0FE">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手工编结</w:t>
            </w:r>
          </w:p>
        </w:tc>
      </w:tr>
      <w:tr w14:paraId="03328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438" w:type="dxa"/>
            <w:vAlign w:val="center"/>
          </w:tcPr>
          <w:p w14:paraId="46258D14">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z w:val="24"/>
                <w:szCs w:val="24"/>
                <w:lang w:val="en-US" w:eastAsia="zh-CN"/>
              </w:rPr>
              <w:t>5</w:t>
            </w:r>
          </w:p>
        </w:tc>
        <w:tc>
          <w:tcPr>
            <w:tcW w:w="1650" w:type="dxa"/>
            <w:vAlign w:val="center"/>
          </w:tcPr>
          <w:p w14:paraId="5197154E">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玉雕室</w:t>
            </w:r>
          </w:p>
        </w:tc>
        <w:tc>
          <w:tcPr>
            <w:tcW w:w="1233" w:type="dxa"/>
            <w:vAlign w:val="center"/>
          </w:tcPr>
          <w:p w14:paraId="0AAFE801">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eastAsia="zh-CN"/>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46979D61">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配备雕刻机112台、</w:t>
            </w:r>
            <w:r>
              <w:rPr>
                <w:rFonts w:hint="default" w:ascii="仿宋_GB2312" w:hAnsi="仿宋_GB2312" w:eastAsia="仿宋_GB2312" w:cs="仿宋_GB2312"/>
                <w:color w:val="auto"/>
                <w:sz w:val="24"/>
                <w:szCs w:val="24"/>
                <w:lang w:val="en-US" w:eastAsia="zh-CN"/>
              </w:rPr>
              <w:t>玉石切割机</w:t>
            </w:r>
            <w:r>
              <w:rPr>
                <w:rFonts w:hint="eastAsia" w:ascii="仿宋_GB2312" w:hAnsi="仿宋_GB2312" w:eastAsia="仿宋_GB2312" w:cs="仿宋_GB2312"/>
                <w:color w:val="auto"/>
                <w:sz w:val="24"/>
                <w:szCs w:val="24"/>
                <w:lang w:val="en-US" w:eastAsia="zh-CN"/>
              </w:rPr>
              <w:t>6台</w:t>
            </w:r>
            <w:r>
              <w:rPr>
                <w:rFonts w:hint="default" w:ascii="仿宋_GB2312" w:hAnsi="仿宋_GB2312" w:eastAsia="仿宋_GB2312" w:cs="仿宋_GB2312"/>
                <w:color w:val="auto"/>
                <w:sz w:val="24"/>
                <w:szCs w:val="24"/>
                <w:lang w:val="en-US" w:eastAsia="zh-CN"/>
              </w:rPr>
              <w:t>、</w:t>
            </w:r>
            <w:r>
              <w:rPr>
                <w:rFonts w:hint="eastAsia" w:ascii="仿宋_GB2312" w:hAnsi="仿宋_GB2312" w:eastAsia="仿宋_GB2312" w:cs="仿宋_GB2312"/>
                <w:color w:val="auto"/>
                <w:sz w:val="24"/>
                <w:szCs w:val="24"/>
                <w:lang w:val="en-US" w:eastAsia="zh-CN"/>
              </w:rPr>
              <w:t>冲胚机2台、氧化工作槽、自动送料电刨、除油清洗封闭、小型震桶抛光机、电脑调色机各1台、手镯成型机2台、玉石大切台3台</w:t>
            </w:r>
          </w:p>
        </w:tc>
        <w:tc>
          <w:tcPr>
            <w:tcW w:w="1635" w:type="dxa"/>
            <w:vAlign w:val="center"/>
          </w:tcPr>
          <w:p w14:paraId="22B3EA23">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玉雕课程教学与实训</w:t>
            </w:r>
          </w:p>
        </w:tc>
        <w:tc>
          <w:tcPr>
            <w:tcW w:w="1451" w:type="dxa"/>
            <w:vAlign w:val="center"/>
          </w:tcPr>
          <w:p w14:paraId="4AD0158A">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玉雕</w:t>
            </w:r>
          </w:p>
        </w:tc>
      </w:tr>
      <w:tr w14:paraId="09F23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jc w:val="center"/>
        </w:trPr>
        <w:tc>
          <w:tcPr>
            <w:tcW w:w="438" w:type="dxa"/>
            <w:vAlign w:val="center"/>
          </w:tcPr>
          <w:p w14:paraId="3378BD88">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6</w:t>
            </w:r>
          </w:p>
        </w:tc>
        <w:tc>
          <w:tcPr>
            <w:tcW w:w="1650" w:type="dxa"/>
            <w:vAlign w:val="center"/>
          </w:tcPr>
          <w:p w14:paraId="4A33292E">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画室</w:t>
            </w:r>
          </w:p>
        </w:tc>
        <w:tc>
          <w:tcPr>
            <w:tcW w:w="1233" w:type="dxa"/>
            <w:vAlign w:val="center"/>
          </w:tcPr>
          <w:p w14:paraId="282DD84D">
            <w:pPr>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center"/>
              <w:textAlignment w:val="auto"/>
              <w:rPr>
                <w:rFonts w:hint="eastAsia" w:ascii="仿宋_GB2312" w:hAnsi="仿宋_GB2312" w:eastAsia="仿宋_GB2312" w:cs="仿宋_GB2312"/>
                <w:color w:val="auto"/>
                <w:spacing w:val="-6"/>
                <w:position w:val="1"/>
                <w:sz w:val="24"/>
                <w:szCs w:val="24"/>
              </w:rPr>
            </w:pPr>
            <w:r>
              <w:rPr>
                <w:rFonts w:hint="eastAsia" w:ascii="仿宋_GB2312" w:hAnsi="仿宋_GB2312" w:eastAsia="仿宋_GB2312" w:cs="仿宋_GB2312"/>
                <w:color w:val="auto"/>
                <w:spacing w:val="-5"/>
                <w:position w:val="1"/>
                <w:sz w:val="24"/>
                <w:szCs w:val="24"/>
                <w:lang w:val="en-US" w:eastAsia="zh-CN"/>
              </w:rPr>
              <w:t>30</w:t>
            </w:r>
          </w:p>
        </w:tc>
        <w:tc>
          <w:tcPr>
            <w:tcW w:w="2873" w:type="dxa"/>
            <w:vAlign w:val="center"/>
          </w:tcPr>
          <w:p w14:paraId="53CFC436">
            <w:pPr>
              <w:pStyle w:val="15"/>
              <w:keepNext w:val="0"/>
              <w:keepLines w:val="0"/>
              <w:pageBreakBefore w:val="0"/>
              <w:widowControl w:val="0"/>
              <w:kinsoku/>
              <w:wordWrap/>
              <w:overflowPunct/>
              <w:topLinePunct w:val="0"/>
              <w:autoSpaceDE/>
              <w:autoSpaceDN/>
              <w:bidi w:val="0"/>
              <w:adjustRightInd/>
              <w:snapToGrid/>
              <w:spacing w:line="520" w:lineRule="exact"/>
              <w:ind w:left="0"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default" w:ascii="仿宋_GB2312" w:hAnsi="仿宋_GB2312" w:eastAsia="仿宋_GB2312" w:cs="仿宋_GB2312"/>
                <w:color w:val="auto"/>
                <w:sz w:val="24"/>
                <w:szCs w:val="24"/>
                <w:lang w:val="en-US" w:eastAsia="zh-CN"/>
              </w:rPr>
              <w:t>画架、椅子、写生台、石膏模型</w:t>
            </w:r>
          </w:p>
        </w:tc>
        <w:tc>
          <w:tcPr>
            <w:tcW w:w="1635" w:type="dxa"/>
            <w:vAlign w:val="center"/>
          </w:tcPr>
          <w:p w14:paraId="69CAAAB7">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素描、色彩课程教学与实训</w:t>
            </w:r>
          </w:p>
        </w:tc>
        <w:tc>
          <w:tcPr>
            <w:tcW w:w="1451" w:type="dxa"/>
            <w:vAlign w:val="center"/>
          </w:tcPr>
          <w:p w14:paraId="7EC8D82C">
            <w:pPr>
              <w:pStyle w:val="15"/>
              <w:keepNext w:val="0"/>
              <w:keepLines w:val="0"/>
              <w:pageBreakBefore w:val="0"/>
              <w:widowControl w:val="0"/>
              <w:kinsoku/>
              <w:wordWrap/>
              <w:overflowPunct/>
              <w:topLinePunct w:val="0"/>
              <w:autoSpaceDE/>
              <w:autoSpaceDN/>
              <w:bidi w:val="0"/>
              <w:adjustRightInd/>
              <w:snapToGrid/>
              <w:spacing w:line="520" w:lineRule="exact"/>
              <w:ind w:right="0" w:firstLine="0" w:firstLineChars="0"/>
              <w:jc w:val="both"/>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设计素描、设计色彩</w:t>
            </w:r>
          </w:p>
        </w:tc>
      </w:tr>
    </w:tbl>
    <w:p w14:paraId="03114C88">
      <w:pPr>
        <w:pStyle w:val="3"/>
        <w:bidi w:val="0"/>
        <w:rPr>
          <w:rFonts w:hint="eastAsia"/>
        </w:rPr>
      </w:pPr>
      <w:bookmarkStart w:id="32" w:name="_Toc31054"/>
      <w:r>
        <w:rPr>
          <w:rFonts w:hint="eastAsia"/>
        </w:rPr>
        <w:t>（三）教学资源</w:t>
      </w:r>
      <w:bookmarkEnd w:id="32"/>
    </w:p>
    <w:p w14:paraId="2539BE23">
      <w:pPr>
        <w:bidi w:val="0"/>
        <w:rPr>
          <w:rFonts w:hint="eastAsia"/>
        </w:rPr>
      </w:pPr>
      <w:r>
        <w:rPr>
          <w:rFonts w:hint="eastAsia"/>
        </w:rPr>
        <w:t>主要包括能够满足学生专业学习、教师专业教学研究和教学实施需要的教材、图书及数字化资源等。</w:t>
      </w:r>
    </w:p>
    <w:p w14:paraId="11BA5280">
      <w:pPr>
        <w:pStyle w:val="4"/>
        <w:bidi w:val="0"/>
        <w:rPr>
          <w:rFonts w:hint="eastAsia"/>
        </w:rPr>
      </w:pPr>
      <w:r>
        <w:rPr>
          <w:rFonts w:hint="eastAsia"/>
        </w:rPr>
        <w:t>1．教材选用基本要求</w:t>
      </w:r>
    </w:p>
    <w:p w14:paraId="3140E5EF">
      <w:pPr>
        <w:bidi w:val="0"/>
        <w:rPr>
          <w:rFonts w:hint="eastAsia"/>
        </w:rPr>
      </w:pPr>
      <w:r>
        <w:rPr>
          <w:rFonts w:hint="eastAsia"/>
        </w:rPr>
        <w:t>按照国家规定，经过规范程序选用教材，优先选用国家规划教材和国家优秀教材。专业课程教材应体现本行业新技术、新规范、新标准、新形态，并通过数字教材、活页式教材等多种方式进行动态更新。</w:t>
      </w:r>
    </w:p>
    <w:p w14:paraId="4C5C327B">
      <w:pPr>
        <w:pStyle w:val="4"/>
        <w:bidi w:val="0"/>
        <w:rPr>
          <w:rFonts w:hint="eastAsia"/>
        </w:rPr>
      </w:pPr>
      <w:r>
        <w:rPr>
          <w:rFonts w:hint="eastAsia"/>
        </w:rPr>
        <w:t>2．图书文献配备基本要求</w:t>
      </w:r>
    </w:p>
    <w:p w14:paraId="052D02E3">
      <w:pPr>
        <w:bidi w:val="0"/>
        <w:rPr>
          <w:rFonts w:hint="eastAsia"/>
        </w:rPr>
      </w:pPr>
      <w:r>
        <w:rPr>
          <w:rFonts w:hint="eastAsia"/>
        </w:rPr>
        <w:t>学校共购买图书4万余册，配足配齐新课程标准中要求学生必读的书目和本专业相关的书籍，满足学生阅读需要，并且加强报刊杂志征订力度和图书购买更新力度，保证用于学生阅读的图书、报刊、杂志数量不低于规定标准数量。按照学生阅览室最低馆舍要求设置阅览室，阅览室设置达到要</w:t>
      </w:r>
    </w:p>
    <w:p w14:paraId="79E00998">
      <w:pPr>
        <w:pStyle w:val="4"/>
        <w:bidi w:val="0"/>
        <w:rPr>
          <w:rFonts w:hint="eastAsia"/>
        </w:rPr>
      </w:pPr>
      <w:r>
        <w:rPr>
          <w:rFonts w:hint="eastAsia"/>
        </w:rPr>
        <w:t>3．数字教学资源配置基本要求</w:t>
      </w:r>
    </w:p>
    <w:p w14:paraId="51995FC7">
      <w:pPr>
        <w:bidi w:val="0"/>
        <w:rPr>
          <w:rFonts w:hint="eastAsia"/>
        </w:rPr>
      </w:pPr>
      <w:r>
        <w:rPr>
          <w:rFonts w:hint="eastAsia"/>
        </w:rPr>
        <w:t>建设、配备与本专业有关的音视频素材、教学课件、数字化教学案例库、虚拟仿真软件等专业教学资源库，种类丰富、形式多样、使用便捷、动态更新、满足教学。</w:t>
      </w:r>
    </w:p>
    <w:p w14:paraId="2D4ACA30">
      <w:pPr>
        <w:pStyle w:val="3"/>
        <w:bidi w:val="0"/>
        <w:rPr>
          <w:rFonts w:hint="eastAsia"/>
        </w:rPr>
      </w:pPr>
      <w:bookmarkStart w:id="33" w:name="bookmark22"/>
      <w:bookmarkEnd w:id="33"/>
      <w:bookmarkStart w:id="34" w:name="_Toc27280"/>
      <w:r>
        <w:rPr>
          <w:rFonts w:hint="eastAsia"/>
        </w:rPr>
        <w:t>（四）教学方法</w:t>
      </w:r>
      <w:bookmarkEnd w:id="34"/>
    </w:p>
    <w:p w14:paraId="63BFA38E">
      <w:pPr>
        <w:bidi w:val="0"/>
        <w:rPr>
          <w:rFonts w:hint="eastAsia"/>
          <w:lang w:eastAsia="zh-CN"/>
        </w:rPr>
      </w:pPr>
      <w:bookmarkStart w:id="35" w:name="bookmark23"/>
      <w:bookmarkEnd w:id="35"/>
      <w:r>
        <w:rPr>
          <w:rFonts w:hint="eastAsia"/>
          <w:lang w:val="en-US" w:eastAsia="zh-CN"/>
        </w:rPr>
        <w:t>公共基础课的教学要符合教育部有关教育教学的基本要求，</w:t>
      </w:r>
      <w:r>
        <w:rPr>
          <w:rFonts w:hint="eastAsia"/>
        </w:rPr>
        <w:t>按照培养学生基本科学文化素养、服务学生专业学习和终身发展的需求来定位，重在教学方法、教学组织形式的改革，教学手段、教学模式的创新，调动学生学习的积极性，为学生综合素质的提高、职业能力的形成和可持续发展</w:t>
      </w:r>
      <w:r>
        <w:rPr>
          <w:rFonts w:hint="eastAsia"/>
          <w:lang w:val="en-US" w:eastAsia="zh-CN"/>
        </w:rPr>
        <w:t>奠定</w:t>
      </w:r>
      <w:r>
        <w:rPr>
          <w:rFonts w:hint="eastAsia"/>
        </w:rPr>
        <w:t>基础</w:t>
      </w:r>
      <w:r>
        <w:rPr>
          <w:rFonts w:hint="eastAsia"/>
          <w:lang w:eastAsia="zh-CN"/>
        </w:rPr>
        <w:t>。</w:t>
      </w:r>
    </w:p>
    <w:p w14:paraId="66EB79DA">
      <w:pPr>
        <w:bidi w:val="0"/>
        <w:rPr>
          <w:rFonts w:hint="eastAsia"/>
        </w:rPr>
      </w:pPr>
      <w:r>
        <w:rPr>
          <w:rFonts w:hint="eastAsia"/>
        </w:rPr>
        <w:t>专业技能课按照相应职业岗位（群</w:t>
      </w:r>
      <w:r>
        <w:rPr>
          <w:rFonts w:hint="eastAsia"/>
          <w:lang w:eastAsia="zh-CN"/>
        </w:rPr>
        <w:t>）</w:t>
      </w:r>
      <w:r>
        <w:rPr>
          <w:rFonts w:hint="eastAsia"/>
        </w:rPr>
        <w:t>的能力要求组织，强化理论实践一体化，突出“做中学、做中教”的职业教育教学特色。贯彻学习内容与工作内容对接、教学过程与工作过程对接、学习坏境与工作坏境对接，提倡项目教学、案例教学、现场教学等方法。要保证学生有充分的动手训练时间，有意识地强化企业工作规范及安全生产知识，培养学生良好的团队合作精神、服务意识、质量意识和环境保护意识，帮助学生养成规范严谨的操作习惯。</w:t>
      </w:r>
    </w:p>
    <w:p w14:paraId="7658E4FC">
      <w:pPr>
        <w:pStyle w:val="3"/>
        <w:bidi w:val="0"/>
        <w:rPr>
          <w:rFonts w:hint="eastAsia"/>
        </w:rPr>
      </w:pPr>
      <w:bookmarkStart w:id="36" w:name="_Toc15273"/>
      <w:r>
        <w:rPr>
          <w:rFonts w:hint="eastAsia"/>
        </w:rPr>
        <w:t>（五）学习评价</w:t>
      </w:r>
      <w:bookmarkEnd w:id="36"/>
    </w:p>
    <w:p w14:paraId="1EFC6CB4">
      <w:pPr>
        <w:pStyle w:val="4"/>
        <w:bidi w:val="0"/>
        <w:rPr>
          <w:rFonts w:hint="eastAsia"/>
        </w:rPr>
      </w:pPr>
      <w:r>
        <w:rPr>
          <w:rFonts w:hint="eastAsia"/>
        </w:rPr>
        <w:t>1.注重过程性考核</w:t>
      </w:r>
    </w:p>
    <w:p w14:paraId="136B7467">
      <w:pPr>
        <w:bidi w:val="0"/>
        <w:rPr>
          <w:rFonts w:hint="eastAsia"/>
        </w:rPr>
      </w:pPr>
      <w:r>
        <w:rPr>
          <w:rFonts w:hint="eastAsia"/>
        </w:rPr>
        <w:t>课程教学要关注学生的学习过程，对学生的过程进行评价和记录，形成过程性考核和评价成绩。</w:t>
      </w:r>
    </w:p>
    <w:p w14:paraId="782DB610">
      <w:pPr>
        <w:pStyle w:val="4"/>
        <w:bidi w:val="0"/>
        <w:rPr>
          <w:rFonts w:hint="eastAsia"/>
        </w:rPr>
      </w:pPr>
      <w:r>
        <w:rPr>
          <w:rFonts w:hint="eastAsia"/>
        </w:rPr>
        <w:t>2.注重职业素质评价</w:t>
      </w:r>
    </w:p>
    <w:p w14:paraId="1B5982AA">
      <w:pPr>
        <w:bidi w:val="0"/>
        <w:rPr>
          <w:rFonts w:hint="eastAsia"/>
        </w:rPr>
      </w:pPr>
      <w:r>
        <w:rPr>
          <w:rFonts w:hint="eastAsia"/>
        </w:rPr>
        <w:t>课程教学过程中，将职业素质的基本要求落实到学生的课堂行为和学习行为中，按职业要求对学生的学习行为、方法思路、过程表现进行评价，引导学生认知、实践和巩固职业职业意识和职业行为，形成良好的职业习惯，提高职业综合素质。</w:t>
      </w:r>
    </w:p>
    <w:p w14:paraId="247DDFFC">
      <w:pPr>
        <w:pStyle w:val="4"/>
        <w:bidi w:val="0"/>
        <w:rPr>
          <w:rFonts w:hint="eastAsia"/>
        </w:rPr>
      </w:pPr>
      <w:r>
        <w:rPr>
          <w:rFonts w:hint="eastAsia"/>
        </w:rPr>
        <w:t>3.注重能力评价</w:t>
      </w:r>
    </w:p>
    <w:p w14:paraId="36BBC9FA">
      <w:pPr>
        <w:bidi w:val="0"/>
        <w:rPr>
          <w:rFonts w:hint="eastAsia"/>
        </w:rPr>
      </w:pPr>
      <w:r>
        <w:rPr>
          <w:rFonts w:hint="eastAsia"/>
        </w:rPr>
        <w:t>课程教学评价，特别是专业课程的评价，在基础知识评价的基础上，更注重能力的评价，在评价内容、方式的设计上，体现出专业能力，在实施上注重专业能力。</w:t>
      </w:r>
    </w:p>
    <w:p w14:paraId="22C66728">
      <w:pPr>
        <w:pStyle w:val="4"/>
        <w:bidi w:val="0"/>
        <w:rPr>
          <w:rFonts w:hint="eastAsia"/>
        </w:rPr>
      </w:pPr>
      <w:r>
        <w:rPr>
          <w:rFonts w:hint="eastAsia"/>
        </w:rPr>
        <w:t>4.多主体评价</w:t>
      </w:r>
    </w:p>
    <w:p w14:paraId="3795F456">
      <w:pPr>
        <w:bidi w:val="0"/>
        <w:rPr>
          <w:rFonts w:hint="eastAsia"/>
        </w:rPr>
      </w:pPr>
      <w:r>
        <w:rPr>
          <w:rFonts w:hint="eastAsia"/>
        </w:rPr>
        <w:t>通过设计多环节、多方面的评价项目，将评价主体从任课教师扩展到学生、学校相关部门或人员、行业企业人员等，实现评价主体的多元化。</w:t>
      </w:r>
    </w:p>
    <w:p w14:paraId="35B45331">
      <w:pPr>
        <w:pStyle w:val="3"/>
        <w:bidi w:val="0"/>
        <w:rPr>
          <w:rFonts w:hint="eastAsia"/>
        </w:rPr>
      </w:pPr>
      <w:bookmarkStart w:id="37" w:name="bookmark24"/>
      <w:bookmarkEnd w:id="37"/>
      <w:bookmarkStart w:id="38" w:name="_Toc17644"/>
      <w:r>
        <w:rPr>
          <w:rFonts w:hint="eastAsia"/>
        </w:rPr>
        <w:t>（六）质量管理</w:t>
      </w:r>
      <w:bookmarkEnd w:id="38"/>
    </w:p>
    <w:p w14:paraId="59F1FA94">
      <w:pPr>
        <w:bidi w:val="0"/>
        <w:rPr>
          <w:rFonts w:hint="eastAsia"/>
        </w:rPr>
      </w:pPr>
      <w:r>
        <w:rPr>
          <w:rFonts w:hint="eastAsia"/>
        </w:rPr>
        <w:t>1.学校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习实训、毕业设计以及资源建设等质量保障建设，通过教学实施、过程监控、质量评价和持续改进，达到人才培养规格要求。</w:t>
      </w:r>
    </w:p>
    <w:p w14:paraId="4D123E74">
      <w:pPr>
        <w:bidi w:val="0"/>
        <w:rPr>
          <w:rFonts w:hint="eastAsia"/>
        </w:rPr>
      </w:pPr>
      <w:r>
        <w:rPr>
          <w:rFonts w:hint="eastAsia"/>
        </w:rPr>
        <w:t>2.学校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25323656">
      <w:pPr>
        <w:bidi w:val="0"/>
        <w:rPr>
          <w:rFonts w:hint="eastAsia"/>
        </w:rPr>
      </w:pPr>
      <w:r>
        <w:rPr>
          <w:rFonts w:hint="eastAsia"/>
        </w:rPr>
        <w:t>3.专业教研组织应建立线上线下相结合的集中备课制度，定期召开教学研讨会议，利用评价分析结果有效改进专业教学，持续提高人才培养质量。</w:t>
      </w:r>
    </w:p>
    <w:p w14:paraId="0174C6CA">
      <w:pPr>
        <w:bidi w:val="0"/>
        <w:rPr>
          <w:rFonts w:hint="eastAsia"/>
        </w:rPr>
      </w:pPr>
      <w:r>
        <w:rPr>
          <w:rFonts w:hint="eastAsia"/>
        </w:rPr>
        <w:t>4.学校应建立毕业生跟踪反馈机制及社会评价机制，并对生源情况、职业道德、技术技能水平、就业质量等进行分析，定期评价人才培养质量和培养目标达成情况。</w:t>
      </w:r>
    </w:p>
    <w:p w14:paraId="36DA6CBA">
      <w:pPr>
        <w:pStyle w:val="2"/>
        <w:bidi w:val="0"/>
        <w:rPr>
          <w:rFonts w:hint="eastAsia"/>
        </w:rPr>
      </w:pPr>
      <w:bookmarkStart w:id="39" w:name="bookmark25"/>
      <w:bookmarkEnd w:id="39"/>
      <w:bookmarkStart w:id="40" w:name="_Toc12781"/>
      <w:r>
        <w:rPr>
          <w:rFonts w:hint="eastAsia"/>
          <w:lang w:val="en-US" w:eastAsia="zh-CN"/>
        </w:rPr>
        <w:t>九</w:t>
      </w:r>
      <w:r>
        <w:rPr>
          <w:rFonts w:hint="eastAsia"/>
        </w:rPr>
        <w:t>、毕业要求</w:t>
      </w:r>
      <w:bookmarkEnd w:id="40"/>
    </w:p>
    <w:p w14:paraId="16890418">
      <w:pPr>
        <w:bidi w:val="0"/>
        <w:rPr>
          <w:rFonts w:hint="eastAsia"/>
        </w:rPr>
      </w:pPr>
      <w:r>
        <w:rPr>
          <w:rFonts w:hint="eastAsia"/>
        </w:rPr>
        <w:t>根据专业人才培养方案确定的目标和培养规格，完成规定的实习实训，全部课程考核合格或修满学分，准予毕业。</w:t>
      </w:r>
    </w:p>
    <w:p w14:paraId="46FD2D55">
      <w:pPr>
        <w:bidi w:val="0"/>
        <w:ind w:firstLine="600" w:firstLineChars="200"/>
        <w:rPr>
          <w:rFonts w:hint="eastAsia" w:ascii="Times New Roman" w:hAnsi="Times New Roman" w:eastAsia="仿宋_GB2312" w:cstheme="minorBidi"/>
          <w:kern w:val="2"/>
          <w:sz w:val="30"/>
          <w:szCs w:val="24"/>
          <w:lang w:val="en-US" w:eastAsia="zh-CN" w:bidi="ar-SA"/>
        </w:rPr>
      </w:pPr>
      <w:r>
        <w:rPr>
          <w:rFonts w:hint="eastAsia" w:ascii="Times New Roman" w:hAnsi="Times New Roman" w:eastAsia="仿宋_GB2312" w:cstheme="minorBidi"/>
          <w:kern w:val="2"/>
          <w:sz w:val="30"/>
          <w:szCs w:val="24"/>
          <w:lang w:val="en-US" w:eastAsia="zh-CN" w:bidi="ar-SA"/>
        </w:rPr>
        <w:t>学校可结合办学实际，细化、明确学生课程修习、学业成绩、实践经历、职业素养、综合素质等方面的学习要求和考核要求。要严把毕业出口关，确保学生毕业时完成规定的学时学分和各教学环节任务，保证毕业要求的达成度。</w:t>
      </w:r>
    </w:p>
    <w:p w14:paraId="41189C4B">
      <w:pPr>
        <w:bidi w:val="0"/>
        <w:rPr>
          <w:rFonts w:hint="eastAsia" w:ascii="仿宋_GB2312" w:hAnsi="仿宋_GB2312" w:eastAsia="仿宋_GB2312" w:cs="仿宋_GB2312"/>
          <w:color w:val="auto"/>
          <w:sz w:val="30"/>
          <w:szCs w:val="30"/>
          <w:lang w:val="en-US" w:eastAsia="zh-CN"/>
        </w:rPr>
      </w:pPr>
      <w:r>
        <w:rPr>
          <w:rFonts w:hint="eastAsia"/>
        </w:rPr>
        <w:t>接受职业培训取得的职业技能等级证书、培训证书等学习成果，经职业学校认定，可以转化为相应的学历教育学分；达到相应职业学校学业要求的，可以取得相应的学业证书。</w:t>
      </w:r>
    </w:p>
    <w:sectPr>
      <w:pgSz w:w="11906" w:h="16838"/>
      <w:pgMar w:top="1440" w:right="1080" w:bottom="1440" w:left="108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B3DA39-098F-4E96-A3EA-B30A2F3F264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CCB79AD-C456-455D-BC33-2CA747577AD4}"/>
  </w:font>
  <w:font w:name="仿宋_GB2312">
    <w:panose1 w:val="02010609030101010101"/>
    <w:charset w:val="86"/>
    <w:family w:val="auto"/>
    <w:pitch w:val="default"/>
    <w:sig w:usb0="00000001" w:usb1="080E0000" w:usb2="00000000" w:usb3="00000000" w:csb0="00040000" w:csb1="00000000"/>
    <w:embedRegular r:id="rId3" w:fontKey="{E708E803-071D-4ABD-8578-2F4BEA87173B}"/>
  </w:font>
  <w:font w:name="Calibri Light">
    <w:panose1 w:val="020F0302020204030204"/>
    <w:charset w:val="00"/>
    <w:family w:val="auto"/>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embedRegular r:id="rId4" w:fontKey="{3858CEF6-2E65-4701-9320-DCD3B42813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866EE">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6F8AC">
    <w:pPr>
      <w:pStyle w:val="7"/>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6650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8D6650A">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0224E">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4BCB9">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A44BCB9">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C36BE">
    <w:pPr>
      <w:keepNext w:val="0"/>
      <w:keepLines w:val="0"/>
      <w:widowControl/>
      <w:suppressLineNumbers w:val="0"/>
      <w:pBdr>
        <w:bottom w:val="none" w:color="auto" w:sz="0" w:space="0"/>
      </w:pBdr>
      <w:ind w:firstLine="2640" w:firstLineChars="1100"/>
      <w:jc w:val="right"/>
    </w:pPr>
    <w:r>
      <w:rPr>
        <w:rFonts w:hint="eastAsia" w:ascii="Times New Roman" w:hAnsi="Times New Roman" w:eastAsia="仿宋_GB2312" w:cs="Times New Roman"/>
        <w:sz w:val="24"/>
        <w:szCs w:val="24"/>
        <w:lang w:eastAsia="zh-CN"/>
      </w:rPr>
      <w:drawing>
        <wp:anchor distT="0" distB="0" distL="114300" distR="114300" simplePos="0" relativeHeight="251660288" behindDoc="0" locked="0" layoutInCell="1" allowOverlap="1">
          <wp:simplePos x="0" y="0"/>
          <wp:positionH relativeFrom="column">
            <wp:posOffset>-111760</wp:posOffset>
          </wp:positionH>
          <wp:positionV relativeFrom="paragraph">
            <wp:posOffset>-121920</wp:posOffset>
          </wp:positionV>
          <wp:extent cx="1371600" cy="512445"/>
          <wp:effectExtent l="0" t="0" r="0" b="1905"/>
          <wp:wrapNone/>
          <wp:docPr id="4" name="图片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
                  <pic:cNvPicPr>
                    <a:picLocks noChangeAspect="1"/>
                  </pic:cNvPicPr>
                </pic:nvPicPr>
                <pic:blipFill>
                  <a:blip r:embed="rId1"/>
                  <a:stretch>
                    <a:fillRect/>
                  </a:stretch>
                </pic:blipFill>
                <pic:spPr>
                  <a:xfrm>
                    <a:off x="0" y="0"/>
                    <a:ext cx="1371600" cy="512445"/>
                  </a:xfrm>
                  <a:prstGeom prst="rect">
                    <a:avLst/>
                  </a:prstGeom>
                  <a:noFill/>
                  <a:ln>
                    <a:noFill/>
                  </a:ln>
                </pic:spPr>
              </pic:pic>
            </a:graphicData>
          </a:graphic>
        </wp:anchor>
      </w:drawing>
    </w:r>
    <w:r>
      <w:rPr>
        <w:rFonts w:ascii="仿宋_GB2312" w:hAnsi="仿宋_GB2312" w:eastAsia="仿宋_GB2312" w:cs="仿宋_GB2312"/>
        <w:color w:val="000000"/>
        <w:kern w:val="0"/>
        <w:sz w:val="24"/>
        <w:szCs w:val="24"/>
        <w:lang w:val="en-US" w:eastAsia="zh-CN" w:bidi="ar"/>
      </w:rPr>
      <w:t>《</w:t>
    </w:r>
    <w:r>
      <w:rPr>
        <w:rFonts w:hint="eastAsia" w:ascii="仿宋_GB2312" w:hAnsi="仿宋_GB2312" w:eastAsia="仿宋_GB2312" w:cs="仿宋_GB2312"/>
        <w:color w:val="000000"/>
        <w:kern w:val="0"/>
        <w:sz w:val="24"/>
        <w:szCs w:val="24"/>
        <w:lang w:val="en-US" w:eastAsia="zh-CN" w:bidi="ar"/>
      </w:rPr>
      <w:t>民间传统工艺</w:t>
    </w:r>
    <w:r>
      <w:rPr>
        <w:rFonts w:ascii="仿宋_GB2312" w:hAnsi="仿宋_GB2312" w:eastAsia="仿宋_GB2312" w:cs="仿宋_GB2312"/>
        <w:color w:val="000000"/>
        <w:kern w:val="0"/>
        <w:sz w:val="24"/>
        <w:szCs w:val="24"/>
        <w:lang w:val="en-US" w:eastAsia="zh-CN" w:bidi="ar"/>
      </w:rPr>
      <w:t>》专业人才培养方案</w:t>
    </w:r>
  </w:p>
  <w:p w14:paraId="187BBF84">
    <w:pPr>
      <w:pStyle w:val="8"/>
      <w:pBdr>
        <w:bottom w:val="single" w:color="auto" w:sz="4" w:space="1"/>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2455D0"/>
    <w:rsid w:val="026C6D7F"/>
    <w:rsid w:val="034104E4"/>
    <w:rsid w:val="03F01B56"/>
    <w:rsid w:val="04926B8C"/>
    <w:rsid w:val="05EF3F4F"/>
    <w:rsid w:val="0614313A"/>
    <w:rsid w:val="087C2D8F"/>
    <w:rsid w:val="099F7A3A"/>
    <w:rsid w:val="10AE2123"/>
    <w:rsid w:val="12E16CE4"/>
    <w:rsid w:val="133032AB"/>
    <w:rsid w:val="13962E04"/>
    <w:rsid w:val="14915E3E"/>
    <w:rsid w:val="166B5F9D"/>
    <w:rsid w:val="169C7B03"/>
    <w:rsid w:val="18EB0001"/>
    <w:rsid w:val="19497B1D"/>
    <w:rsid w:val="19CC487B"/>
    <w:rsid w:val="1B5851BD"/>
    <w:rsid w:val="1D263D21"/>
    <w:rsid w:val="1DDB3ADA"/>
    <w:rsid w:val="233A39AD"/>
    <w:rsid w:val="233F1C1A"/>
    <w:rsid w:val="23E46C65"/>
    <w:rsid w:val="2504633D"/>
    <w:rsid w:val="254B110D"/>
    <w:rsid w:val="25D02FFD"/>
    <w:rsid w:val="25E657FE"/>
    <w:rsid w:val="25F7274F"/>
    <w:rsid w:val="27D15B5D"/>
    <w:rsid w:val="352F3642"/>
    <w:rsid w:val="36285510"/>
    <w:rsid w:val="388A2694"/>
    <w:rsid w:val="38F32919"/>
    <w:rsid w:val="3DDB658B"/>
    <w:rsid w:val="3FEF5955"/>
    <w:rsid w:val="415B3C6B"/>
    <w:rsid w:val="42D61313"/>
    <w:rsid w:val="439664EE"/>
    <w:rsid w:val="453B20CB"/>
    <w:rsid w:val="456D6845"/>
    <w:rsid w:val="47727BCE"/>
    <w:rsid w:val="47847E36"/>
    <w:rsid w:val="47E437A7"/>
    <w:rsid w:val="48B94E63"/>
    <w:rsid w:val="49D714C5"/>
    <w:rsid w:val="4E9B59E5"/>
    <w:rsid w:val="4F9C589F"/>
    <w:rsid w:val="50E81293"/>
    <w:rsid w:val="511D718F"/>
    <w:rsid w:val="53B36EAB"/>
    <w:rsid w:val="5587107B"/>
    <w:rsid w:val="5702070C"/>
    <w:rsid w:val="580E3CA3"/>
    <w:rsid w:val="59AC3D2B"/>
    <w:rsid w:val="5AB67A1C"/>
    <w:rsid w:val="5DE63E66"/>
    <w:rsid w:val="5E4F4B48"/>
    <w:rsid w:val="5E674312"/>
    <w:rsid w:val="5E6D4BE2"/>
    <w:rsid w:val="638266CE"/>
    <w:rsid w:val="64837E52"/>
    <w:rsid w:val="65591DAB"/>
    <w:rsid w:val="67536C00"/>
    <w:rsid w:val="6A6B7926"/>
    <w:rsid w:val="6BB01AF3"/>
    <w:rsid w:val="6BD9385B"/>
    <w:rsid w:val="6D9B5E15"/>
    <w:rsid w:val="6E0E3E79"/>
    <w:rsid w:val="71EC42E8"/>
    <w:rsid w:val="72AC0610"/>
    <w:rsid w:val="73B250BD"/>
    <w:rsid w:val="74BD1F6B"/>
    <w:rsid w:val="778B6351"/>
    <w:rsid w:val="77F50D9D"/>
    <w:rsid w:val="7ABF547D"/>
    <w:rsid w:val="7B7E7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600" w:firstLineChars="200"/>
      <w:jc w:val="left"/>
    </w:pPr>
    <w:rPr>
      <w:rFonts w:ascii="Times New Roman" w:hAnsi="Times New Roman" w:eastAsia="仿宋_GB2312" w:cstheme="minorBidi"/>
      <w:kern w:val="2"/>
      <w:sz w:val="30"/>
      <w:szCs w:val="24"/>
      <w:lang w:val="en-US" w:eastAsia="zh-CN" w:bidi="ar-SA"/>
    </w:rPr>
  </w:style>
  <w:style w:type="paragraph" w:styleId="2">
    <w:name w:val="heading 1"/>
    <w:basedOn w:val="1"/>
    <w:next w:val="1"/>
    <w:link w:val="14"/>
    <w:qFormat/>
    <w:uiPriority w:val="0"/>
    <w:pPr>
      <w:keepNext/>
      <w:widowControl/>
      <w:spacing w:line="560" w:lineRule="exact"/>
      <w:ind w:firstLine="600" w:firstLineChars="200"/>
      <w:jc w:val="left"/>
      <w:outlineLvl w:val="0"/>
    </w:pPr>
    <w:rPr>
      <w:rFonts w:eastAsia="黑体" w:cs="Times New Roman"/>
      <w:color w:val="000000" w:themeColor="text1"/>
      <w:kern w:val="0"/>
      <w:sz w:val="32"/>
      <w:szCs w:val="44"/>
      <w:lang w:val="en-GB" w:eastAsia="en-US"/>
      <w14:textFill>
        <w14:solidFill>
          <w14:schemeClr w14:val="tx1"/>
        </w14:solidFill>
      </w14:textFill>
    </w:rPr>
  </w:style>
  <w:style w:type="paragraph" w:styleId="3">
    <w:name w:val="heading 2"/>
    <w:basedOn w:val="1"/>
    <w:next w:val="1"/>
    <w:unhideWhenUsed/>
    <w:qFormat/>
    <w:uiPriority w:val="0"/>
    <w:pPr>
      <w:keepNext/>
      <w:keepLines/>
      <w:spacing w:line="560" w:lineRule="exact"/>
      <w:ind w:firstLine="880" w:firstLineChars="200"/>
      <w:jc w:val="left"/>
      <w:outlineLvl w:val="1"/>
    </w:pPr>
    <w:rPr>
      <w:rFonts w:asciiTheme="majorAscii" w:hAnsiTheme="majorAscii" w:cstheme="majorBidi"/>
      <w:b/>
      <w:color w:val="000000" w:themeColor="text1"/>
      <w:sz w:val="32"/>
      <w:szCs w:val="40"/>
      <w14:textFill>
        <w14:solidFill>
          <w14:schemeClr w14:val="tx1"/>
        </w14:solidFill>
      </w14:textFill>
    </w:rPr>
  </w:style>
  <w:style w:type="paragraph" w:styleId="4">
    <w:name w:val="heading 3"/>
    <w:basedOn w:val="1"/>
    <w:next w:val="1"/>
    <w:unhideWhenUsed/>
    <w:qFormat/>
    <w:uiPriority w:val="0"/>
    <w:pPr>
      <w:spacing w:before="0" w:beforeAutospacing="0" w:after="0" w:afterAutospacing="0"/>
      <w:jc w:val="left"/>
      <w:outlineLvl w:val="2"/>
    </w:pPr>
    <w:rPr>
      <w:rFonts w:hint="eastAsia" w:cs="Times New Roman"/>
      <w:b/>
      <w:bCs/>
      <w:kern w:val="0"/>
      <w:sz w:val="32"/>
      <w:szCs w:val="27"/>
      <w:lang w:bidi="ar"/>
    </w:rPr>
  </w:style>
  <w:style w:type="character" w:default="1" w:styleId="13">
    <w:name w:val="Default Paragraph Font"/>
    <w:semiHidden/>
    <w:unhideWhenUsed/>
    <w:qFormat/>
    <w:uiPriority w:val="1"/>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toc 3"/>
    <w:basedOn w:val="2"/>
    <w:next w:val="1"/>
    <w:qFormat/>
    <w:uiPriority w:val="0"/>
    <w:pPr>
      <w:spacing w:before="100" w:beforeLines="100" w:after="100" w:afterLines="100" w:line="240" w:lineRule="auto"/>
      <w:ind w:left="0" w:leftChars="0" w:firstLine="0" w:firstLineChars="0"/>
      <w:jc w:val="center"/>
    </w:pPr>
    <w:rPr>
      <w:rFonts w:ascii="Arial" w:hAnsi="Arial"/>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2"/>
    <w:next w:val="1"/>
    <w:qFormat/>
    <w:uiPriority w:val="0"/>
    <w:pPr>
      <w:spacing w:line="240" w:lineRule="auto"/>
      <w:ind w:firstLine="0" w:firstLineChars="0"/>
    </w:pPr>
    <w:rPr>
      <w:sz w:val="21"/>
    </w:rPr>
  </w:style>
  <w:style w:type="paragraph" w:styleId="10">
    <w:name w:val="toc 2"/>
    <w:basedOn w:val="3"/>
    <w:next w:val="1"/>
    <w:qFormat/>
    <w:uiPriority w:val="0"/>
    <w:pPr>
      <w:spacing w:line="240" w:lineRule="auto"/>
      <w:ind w:left="0" w:leftChars="0" w:firstLine="0" w:firstLineChars="0"/>
    </w:pPr>
    <w:rPr>
      <w:b w:val="0"/>
      <w:sz w:val="21"/>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字符"/>
    <w:basedOn w:val="13"/>
    <w:link w:val="2"/>
    <w:qFormat/>
    <w:uiPriority w:val="9"/>
    <w:rPr>
      <w:rFonts w:ascii="Times New Roman" w:hAnsi="Times New Roman" w:eastAsia="黑体" w:cs="Times New Roman"/>
      <w:color w:val="000000" w:themeColor="text1"/>
      <w:kern w:val="0"/>
      <w:sz w:val="32"/>
      <w:szCs w:val="44"/>
      <w:lang w:val="en-GB" w:eastAsia="en-US"/>
      <w14:textFill>
        <w14:solidFill>
          <w14:schemeClr w14:val="tx1"/>
        </w14:solidFill>
      </w14:textFill>
    </w:rPr>
  </w:style>
  <w:style w:type="paragraph" w:customStyle="1" w:styleId="15">
    <w:name w:val="Table Text"/>
    <w:basedOn w:val="1"/>
    <w:semiHidden/>
    <w:qFormat/>
    <w:uiPriority w:val="0"/>
    <w:rPr>
      <w:rFonts w:ascii="FangSong_GB2312" w:hAnsi="FangSong_GB2312" w:eastAsia="FangSong_GB2312" w:cs="FangSong_GB2312"/>
      <w:sz w:val="24"/>
      <w:szCs w:val="24"/>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WPSOffice手动目录 1"/>
    <w:qFormat/>
    <w:uiPriority w:val="0"/>
    <w:pPr>
      <w:ind w:leftChars="0"/>
    </w:pPr>
    <w:rPr>
      <w:rFonts w:ascii="Times New Roman" w:hAnsi="Times New Roman" w:eastAsia="宋体" w:cs="Times New Roman"/>
      <w:sz w:val="20"/>
      <w:szCs w:val="20"/>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 w:type="paragraph" w:customStyle="1" w:styleId="1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1506</Words>
  <Characters>1544</Characters>
  <Lines>0</Lines>
  <Paragraphs>0</Paragraphs>
  <TotalTime>15</TotalTime>
  <ScaleCrop>false</ScaleCrop>
  <LinksUpToDate>false</LinksUpToDate>
  <CharactersWithSpaces>1620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2026-03-17T01:58:00Z</dcterms:created>
  <dc:creator>半夏半暖</dc:creator>
  <cp:lastModifiedBy>半夏半暖</cp:lastModifiedBy>
  <dcterms:modified xsi:type="dcterms:W3CDTF">2026-09-15T02:59:29Z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725DE5B7F2A643C29C897E405DB9DB98_13</vt:lpwstr>
  </property>
  <property fmtid="{D5CDD505-2E9C-101B-9397-08002B2CF9AE}" pid="4" name="KSOTemplateDocerSaveRecord">
    <vt:lpwstr>eyJoZGlkIjoiNjYzODNjMGI2OGMwMmM2YzkyODdiNmY1OTY5ZGEzZmEiLCJ1c2VySWQiOiI5NDQ4MzU5NDgifQ==</vt:lpwstr>
  </property>
</Properties>
</file>