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2C65">
      <w:pPr>
        <w:keepNext w:val="0"/>
        <w:keepLines w:val="0"/>
        <w:pageBreakBefore w:val="0"/>
        <w:wordWrap/>
        <w:overflowPunct/>
        <w:topLinePunct w:val="0"/>
        <w:bidi w:val="0"/>
        <w:spacing w:line="540" w:lineRule="exact"/>
        <w:ind w:left="0"/>
        <w:rPr>
          <w:rFonts w:hint="eastAsia" w:ascii="仿宋_GB2312" w:hAnsi="仿宋_GB2312" w:eastAsia="仿宋_GB2312" w:cs="仿宋_GB2312"/>
          <w:color w:val="000000" w:themeColor="text1"/>
          <w:sz w:val="30"/>
          <w:szCs w:val="30"/>
          <w14:textFill>
            <w14:solidFill>
              <w14:schemeClr w14:val="tx1"/>
            </w14:solidFill>
          </w14:textFill>
        </w:rPr>
      </w:pPr>
    </w:p>
    <w:p w14:paraId="5B88C373">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p>
    <w:p w14:paraId="7AA89C6C">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p>
    <w:p w14:paraId="17C78CFF">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r>
        <w:rPr>
          <w:rFonts w:hint="eastAsia" w:ascii="仿宋_GB2312" w:hAnsi="仿宋_GB2312" w:eastAsia="仿宋_GB2312" w:cs="仿宋_GB2312"/>
          <w:color w:val="000000" w:themeColor="text1"/>
          <w:sz w:val="30"/>
          <w:szCs w:val="30"/>
          <w:lang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-85090</wp:posOffset>
            </wp:positionH>
            <wp:positionV relativeFrom="paragraph">
              <wp:posOffset>-746125</wp:posOffset>
            </wp:positionV>
            <wp:extent cx="5264785" cy="1966595"/>
            <wp:effectExtent l="0" t="0" r="12065"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8"/>
                    <a:stretch>
                      <a:fillRect/>
                    </a:stretch>
                  </pic:blipFill>
                  <pic:spPr>
                    <a:xfrm>
                      <a:off x="0" y="0"/>
                      <a:ext cx="5264785" cy="1966595"/>
                    </a:xfrm>
                    <a:prstGeom prst="rect">
                      <a:avLst/>
                    </a:prstGeom>
                    <a:noFill/>
                    <a:ln>
                      <a:noFill/>
                    </a:ln>
                  </pic:spPr>
                </pic:pic>
              </a:graphicData>
            </a:graphic>
          </wp:anchor>
        </w:drawing>
      </w:r>
    </w:p>
    <w:p w14:paraId="392309C0">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p>
    <w:p w14:paraId="08FB4E4D">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p>
    <w:p w14:paraId="092B2806">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p>
    <w:p w14:paraId="32CB18C4">
      <w:pPr>
        <w:keepNext w:val="0"/>
        <w:keepLines w:val="0"/>
        <w:pageBreakBefore w:val="0"/>
        <w:widowControl/>
        <w:suppressLineNumbers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000000" w:themeColor="text1"/>
          <w:kern w:val="0"/>
          <w:sz w:val="30"/>
          <w:szCs w:val="30"/>
          <w:lang w:val="en-US" w:eastAsia="zh-CN" w:bidi="ar"/>
          <w14:textFill>
            <w14:solidFill>
              <w14:schemeClr w14:val="tx1"/>
            </w14:solidFill>
          </w14:textFill>
        </w:rPr>
      </w:pPr>
    </w:p>
    <w:p w14:paraId="639185D1">
      <w:pPr>
        <w:keepNext w:val="0"/>
        <w:keepLines w:val="0"/>
        <w:pageBreakBefore w:val="0"/>
        <w:widowControl/>
        <w:suppressLineNumbers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000000" w:themeColor="text1"/>
          <w:kern w:val="0"/>
          <w:sz w:val="52"/>
          <w:szCs w:val="52"/>
          <w:lang w:val="en-US" w:eastAsia="zh-CN" w:bidi="ar"/>
          <w14:textFill>
            <w14:solidFill>
              <w14:schemeClr w14:val="tx1"/>
            </w14:solidFill>
          </w14:textFill>
        </w:rPr>
      </w:pPr>
    </w:p>
    <w:p w14:paraId="183B6FCC">
      <w:pPr>
        <w:keepNext w:val="0"/>
        <w:keepLines w:val="0"/>
        <w:pageBreakBefore w:val="0"/>
        <w:widowControl/>
        <w:suppressLineNumbers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000000" w:themeColor="text1"/>
          <w:kern w:val="0"/>
          <w:sz w:val="52"/>
          <w:szCs w:val="52"/>
          <w:lang w:val="en-US" w:eastAsia="zh-CN" w:bidi="ar"/>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52"/>
          <w:szCs w:val="52"/>
          <w:lang w:val="en-US" w:eastAsia="zh-CN" w:bidi="ar"/>
          <w14:textFill>
            <w14:solidFill>
              <w14:schemeClr w14:val="tx1"/>
            </w14:solidFill>
          </w14:textFill>
        </w:rPr>
        <w:t>中西面点</w:t>
      </w:r>
    </w:p>
    <w:p w14:paraId="025C969E">
      <w:pPr>
        <w:keepNext w:val="0"/>
        <w:keepLines w:val="0"/>
        <w:pageBreakBefore w:val="0"/>
        <w:widowControl/>
        <w:suppressLineNumbers w:val="0"/>
        <w:wordWrap/>
        <w:overflowPunct/>
        <w:topLinePunct w:val="0"/>
        <w:bidi w:val="0"/>
        <w:spacing w:line="540" w:lineRule="exact"/>
        <w:ind w:left="0"/>
        <w:jc w:val="center"/>
        <w:rPr>
          <w:rFonts w:hint="eastAsia" w:ascii="方正小标宋简体" w:hAnsi="方正小标宋简体" w:eastAsia="方正小标宋简体" w:cs="方正小标宋简体"/>
          <w:color w:val="000000" w:themeColor="text1"/>
          <w:sz w:val="52"/>
          <w:szCs w:val="52"/>
          <w14:textFill>
            <w14:solidFill>
              <w14:schemeClr w14:val="tx1"/>
            </w14:solidFill>
          </w14:textFill>
        </w:rPr>
      </w:pPr>
      <w:r>
        <w:rPr>
          <w:rFonts w:hint="eastAsia" w:ascii="方正小标宋简体" w:hAnsi="方正小标宋简体" w:eastAsia="方正小标宋简体" w:cs="方正小标宋简体"/>
          <w:b/>
          <w:bCs/>
          <w:color w:val="000000" w:themeColor="text1"/>
          <w:kern w:val="0"/>
          <w:sz w:val="52"/>
          <w:szCs w:val="52"/>
          <w:lang w:val="en-US" w:eastAsia="zh-CN" w:bidi="ar"/>
          <w14:textFill>
            <w14:solidFill>
              <w14:schemeClr w14:val="tx1"/>
            </w14:solidFill>
          </w14:textFill>
        </w:rPr>
        <w:t>专业人才培养方案</w:t>
      </w:r>
    </w:p>
    <w:p w14:paraId="1E32A3A0">
      <w:pPr>
        <w:keepNext w:val="0"/>
        <w:keepLines w:val="0"/>
        <w:pageBreakBefore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000000" w:themeColor="text1"/>
          <w:kern w:val="0"/>
          <w:sz w:val="30"/>
          <w:szCs w:val="30"/>
          <w:lang w:val="en-US" w:eastAsia="zh-CN" w:bidi="ar"/>
          <w14:textFill>
            <w14:solidFill>
              <w14:schemeClr w14:val="tx1"/>
            </w14:solidFill>
          </w14:textFill>
        </w:rPr>
      </w:pPr>
    </w:p>
    <w:p w14:paraId="536C3EBD">
      <w:pPr>
        <w:keepNext w:val="0"/>
        <w:keepLines w:val="0"/>
        <w:pageBreakBefore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000000" w:themeColor="text1"/>
          <w:kern w:val="0"/>
          <w:sz w:val="30"/>
          <w:szCs w:val="30"/>
          <w:lang w:val="en-US" w:eastAsia="zh-CN" w:bidi="ar"/>
          <w14:textFill>
            <w14:solidFill>
              <w14:schemeClr w14:val="tx1"/>
            </w14:solidFill>
          </w14:textFill>
        </w:rPr>
      </w:pPr>
    </w:p>
    <w:p w14:paraId="2A97C1D1">
      <w:pPr>
        <w:keepNext w:val="0"/>
        <w:keepLines w:val="0"/>
        <w:pageBreakBefore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000000" w:themeColor="text1"/>
          <w:kern w:val="0"/>
          <w:sz w:val="30"/>
          <w:szCs w:val="30"/>
          <w:lang w:val="en-US" w:eastAsia="zh-CN" w:bidi="ar"/>
          <w14:textFill>
            <w14:solidFill>
              <w14:schemeClr w14:val="tx1"/>
            </w14:solidFill>
          </w14:textFill>
        </w:rPr>
      </w:pPr>
    </w:p>
    <w:p w14:paraId="1CE9655D">
      <w:pPr>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p>
    <w:p w14:paraId="2B532FAC">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000000" w:themeColor="text1"/>
          <w:sz w:val="30"/>
          <w:szCs w:val="30"/>
          <w14:textFill>
            <w14:solidFill>
              <w14:schemeClr w14:val="tx1"/>
            </w14:solidFill>
          </w14:textFill>
        </w:rPr>
      </w:pPr>
      <w: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t>广西工艺美术学校</w:t>
      </w:r>
    </w:p>
    <w:p w14:paraId="06F0E335">
      <w:pPr>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t>2026年7月</w:t>
      </w:r>
    </w:p>
    <w:p w14:paraId="3CE56611">
      <w:pPr>
        <w:spacing w:before="0" w:beforeLines="0" w:after="0" w:afterLines="0" w:line="240" w:lineRule="auto"/>
        <w:ind w:left="0" w:leftChars="0" w:right="0" w:rightChars="0" w:firstLine="0" w:firstLineChars="0"/>
        <w:jc w:val="center"/>
        <w:rPr>
          <w:rFonts w:ascii="宋体" w:hAnsi="宋体" w:eastAsia="宋体" w:cstheme="minorBidi"/>
          <w:color w:val="000000" w:themeColor="text1"/>
          <w:kern w:val="2"/>
          <w:sz w:val="21"/>
          <w:szCs w:val="24"/>
          <w:lang w:val="en-US" w:eastAsia="zh-CN" w:bidi="ar-SA"/>
          <w14:textFill>
            <w14:solidFill>
              <w14:schemeClr w14:val="tx1"/>
            </w14:solidFill>
          </w14:textFill>
        </w:rPr>
        <w:sectPr>
          <w:headerReference r:id="rId3" w:type="default"/>
          <w:pgSz w:w="11906" w:h="16838"/>
          <w:pgMar w:top="1440" w:right="1800" w:bottom="1440" w:left="1800" w:header="851" w:footer="992" w:gutter="0"/>
          <w:cols w:space="425" w:num="1"/>
          <w:titlePg/>
          <w:docGrid w:type="lines" w:linePitch="312" w:charSpace="0"/>
        </w:sectPr>
      </w:pPr>
    </w:p>
    <w:sdt>
      <w:sdtPr>
        <w:rPr>
          <w:rFonts w:hint="eastAsia" w:ascii="黑体" w:hAnsi="黑体" w:eastAsia="黑体" w:cs="黑体"/>
          <w:color w:val="000000" w:themeColor="text1"/>
          <w:kern w:val="2"/>
          <w:sz w:val="21"/>
          <w:szCs w:val="24"/>
          <w:lang w:val="en-US" w:eastAsia="zh-CN" w:bidi="ar-SA"/>
          <w14:textFill>
            <w14:solidFill>
              <w14:schemeClr w14:val="tx1"/>
            </w14:solidFill>
          </w14:textFill>
        </w:rPr>
        <w:id w:val="147483176"/>
        <w15:color w:val="DBDBDB"/>
        <w:docPartObj>
          <w:docPartGallery w:val="Table of Contents"/>
          <w:docPartUnique/>
        </w:docPartObj>
      </w:sdtPr>
      <w:sdtEndP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sdtEndPr>
      <w:sdtContent>
        <w:p w14:paraId="7BAE220B">
          <w:pPr>
            <w:spacing w:before="0" w:beforeLines="0" w:after="0" w:afterLines="0" w:line="240" w:lineRule="auto"/>
            <w:ind w:left="0" w:leftChars="0" w:right="0" w:rightChars="0" w:firstLine="0" w:firstLineChars="0"/>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36"/>
              <w:szCs w:val="44"/>
              <w14:textFill>
                <w14:solidFill>
                  <w14:schemeClr w14:val="tx1"/>
                </w14:solidFill>
              </w14:textFill>
            </w:rPr>
            <w:t>目录</w:t>
          </w:r>
        </w:p>
        <w:p w14:paraId="6CB3E7A8">
          <w:pPr>
            <w:pStyle w:val="8"/>
            <w:tabs>
              <w:tab w:val="right" w:leader="dot" w:pos="8306"/>
            </w:tabs>
            <w:jc w:val="center"/>
            <w:rPr>
              <w:rFonts w:eastAsia="黑体"/>
              <w:color w:val="000000" w:themeColor="text1"/>
              <w:sz w:val="21"/>
              <w14:textFill>
                <w14:solidFill>
                  <w14:schemeClr w14:val="tx1"/>
                </w14:solidFill>
              </w14:textFill>
            </w:rPr>
          </w:pPr>
          <w:r>
            <w:rPr>
              <w:color w:val="000000" w:themeColor="text1"/>
              <w:lang w:val="en-US" w:eastAsia="zh-CN"/>
              <w14:textFill>
                <w14:solidFill>
                  <w14:schemeClr w14:val="tx1"/>
                </w14:solidFill>
              </w14:textFill>
            </w:rPr>
            <w:fldChar w:fldCharType="begin"/>
          </w:r>
          <w:r>
            <w:rPr>
              <w:color w:val="000000" w:themeColor="text1"/>
              <w:lang w:val="en-US" w:eastAsia="zh-CN"/>
              <w14:textFill>
                <w14:solidFill>
                  <w14:schemeClr w14:val="tx1"/>
                </w14:solidFill>
              </w14:textFill>
            </w:rPr>
            <w:instrText xml:space="preserve">TOC \o "1-3" \h \u </w:instrText>
          </w:r>
          <w:r>
            <w:rPr>
              <w:color w:val="000000" w:themeColor="text1"/>
              <w:lang w:val="en-US" w:eastAsia="zh-CN"/>
              <w14:textFill>
                <w14:solidFill>
                  <w14:schemeClr w14:val="tx1"/>
                </w14:solidFill>
              </w14:textFill>
            </w:rPr>
            <w:fldChar w:fldCharType="separate"/>
          </w:r>
          <w:r>
            <w:rPr>
              <w:rFonts w:eastAsia="黑体"/>
              <w:color w:val="000000" w:themeColor="text1"/>
              <w:sz w:val="21"/>
              <w:lang w:val="en-US" w:eastAsia="zh-CN"/>
              <w14:textFill>
                <w14:solidFill>
                  <w14:schemeClr w14:val="tx1"/>
                </w14:solidFill>
              </w14:textFill>
            </w:rPr>
            <w:fldChar w:fldCharType="begin"/>
          </w:r>
          <w:r>
            <w:rPr>
              <w:rFonts w:eastAsia="黑体"/>
              <w:color w:val="000000" w:themeColor="text1"/>
              <w:sz w:val="21"/>
              <w:lang w:val="en-US" w:eastAsia="zh-CN"/>
              <w14:textFill>
                <w14:solidFill>
                  <w14:schemeClr w14:val="tx1"/>
                </w14:solidFill>
              </w14:textFill>
            </w:rPr>
            <w:instrText xml:space="preserve"> HYPERLINK \l _Toc21221 </w:instrText>
          </w:r>
          <w:r>
            <w:rPr>
              <w:rFonts w:eastAsia="黑体"/>
              <w:color w:val="000000" w:themeColor="text1"/>
              <w:sz w:val="21"/>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14:textFill>
                <w14:solidFill>
                  <w14:schemeClr w14:val="tx1"/>
                </w14:solidFill>
              </w14:textFill>
            </w:rPr>
            <w:t>一、专业名称及代码</w:t>
          </w:r>
          <w:r>
            <w:rPr>
              <w:rFonts w:hint="eastAsia" w:eastAsia="黑体"/>
              <w:color w:val="000000" w:themeColor="text1"/>
              <w:sz w:val="21"/>
              <w:lang w:val="en-US" w:eastAsia="zh-CN"/>
              <w14:textFill>
                <w14:solidFill>
                  <w14:schemeClr w14:val="tx1"/>
                </w14:solidFill>
              </w14:textFill>
            </w:rPr>
            <w:tab/>
          </w:r>
          <w:r>
            <w:rPr>
              <w:rFonts w:hint="eastAsia" w:eastAsia="黑体"/>
              <w:color w:val="000000" w:themeColor="text1"/>
              <w:sz w:val="21"/>
              <w:lang w:val="en-US" w:eastAsia="zh-CN"/>
              <w14:textFill>
                <w14:solidFill>
                  <w14:schemeClr w14:val="tx1"/>
                </w14:solidFill>
              </w14:textFill>
            </w:rPr>
            <w:fldChar w:fldCharType="begin"/>
          </w:r>
          <w:r>
            <w:rPr>
              <w:rFonts w:hint="eastAsia" w:eastAsia="黑体"/>
              <w:color w:val="000000" w:themeColor="text1"/>
              <w:sz w:val="21"/>
              <w:lang w:val="en-US" w:eastAsia="zh-CN"/>
              <w14:textFill>
                <w14:solidFill>
                  <w14:schemeClr w14:val="tx1"/>
                </w14:solidFill>
              </w14:textFill>
            </w:rPr>
            <w:instrText xml:space="preserve"> PAGEREF _Toc21221 \h </w:instrText>
          </w:r>
          <w:r>
            <w:rPr>
              <w:rFonts w:hint="eastAsia" w:eastAsia="黑体"/>
              <w:color w:val="000000" w:themeColor="text1"/>
              <w:sz w:val="21"/>
              <w:lang w:val="en-US" w:eastAsia="zh-CN"/>
              <w14:textFill>
                <w14:solidFill>
                  <w14:schemeClr w14:val="tx1"/>
                </w14:solidFill>
              </w14:textFill>
            </w:rPr>
            <w:fldChar w:fldCharType="separate"/>
          </w:r>
          <w:r>
            <w:rPr>
              <w:rFonts w:hint="eastAsia" w:eastAsia="黑体"/>
              <w:color w:val="000000" w:themeColor="text1"/>
              <w:sz w:val="21"/>
              <w:lang w:val="en-US" w:eastAsia="zh-CN"/>
              <w14:textFill>
                <w14:solidFill>
                  <w14:schemeClr w14:val="tx1"/>
                </w14:solidFill>
              </w14:textFill>
            </w:rPr>
            <w:t>1</w:t>
          </w:r>
          <w:r>
            <w:rPr>
              <w:rFonts w:hint="eastAsia" w:eastAsia="黑体"/>
              <w:color w:val="000000" w:themeColor="text1"/>
              <w:sz w:val="21"/>
              <w:lang w:val="en-US" w:eastAsia="zh-CN"/>
              <w14:textFill>
                <w14:solidFill>
                  <w14:schemeClr w14:val="tx1"/>
                </w14:solidFill>
              </w14:textFill>
            </w:rPr>
            <w:fldChar w:fldCharType="end"/>
          </w:r>
          <w:r>
            <w:rPr>
              <w:rFonts w:eastAsia="黑体"/>
              <w:color w:val="000000" w:themeColor="text1"/>
              <w:sz w:val="21"/>
              <w:lang w:val="en-US" w:eastAsia="zh-CN"/>
              <w14:textFill>
                <w14:solidFill>
                  <w14:schemeClr w14:val="tx1"/>
                </w14:solidFill>
              </w14:textFill>
            </w:rPr>
            <w:fldChar w:fldCharType="end"/>
          </w:r>
        </w:p>
        <w:p w14:paraId="2AABCE90">
          <w:pPr>
            <w:pStyle w:val="8"/>
            <w:tabs>
              <w:tab w:val="right" w:leader="dot" w:pos="8306"/>
            </w:tabs>
            <w:jc w:val="center"/>
            <w:rPr>
              <w:rFonts w:eastAsia="黑体"/>
              <w:color w:val="000000" w:themeColor="text1"/>
              <w:sz w:val="21"/>
              <w14:textFill>
                <w14:solidFill>
                  <w14:schemeClr w14:val="tx1"/>
                </w14:solidFill>
              </w14:textFill>
            </w:rPr>
          </w:pPr>
          <w:r>
            <w:rPr>
              <w:rFonts w:eastAsia="黑体"/>
              <w:color w:val="000000" w:themeColor="text1"/>
              <w:sz w:val="21"/>
              <w:lang w:val="en-US" w:eastAsia="zh-CN"/>
              <w14:textFill>
                <w14:solidFill>
                  <w14:schemeClr w14:val="tx1"/>
                </w14:solidFill>
              </w14:textFill>
            </w:rPr>
            <w:fldChar w:fldCharType="begin"/>
          </w:r>
          <w:r>
            <w:rPr>
              <w:rFonts w:eastAsia="黑体"/>
              <w:color w:val="000000" w:themeColor="text1"/>
              <w:sz w:val="21"/>
              <w:lang w:val="en-US" w:eastAsia="zh-CN"/>
              <w14:textFill>
                <w14:solidFill>
                  <w14:schemeClr w14:val="tx1"/>
                </w14:solidFill>
              </w14:textFill>
            </w:rPr>
            <w:instrText xml:space="preserve"> HYPERLINK \l _Toc5201 </w:instrText>
          </w:r>
          <w:r>
            <w:rPr>
              <w:rFonts w:eastAsia="黑体"/>
              <w:color w:val="000000" w:themeColor="text1"/>
              <w:sz w:val="21"/>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14:textFill>
                <w14:solidFill>
                  <w14:schemeClr w14:val="tx1"/>
                </w14:solidFill>
              </w14:textFill>
            </w:rPr>
            <w:t>二、入学要求</w:t>
          </w:r>
          <w:r>
            <w:rPr>
              <w:rFonts w:eastAsia="黑体"/>
              <w:color w:val="000000" w:themeColor="text1"/>
              <w:sz w:val="21"/>
              <w14:textFill>
                <w14:solidFill>
                  <w14:schemeClr w14:val="tx1"/>
                </w14:solidFill>
              </w14:textFill>
            </w:rPr>
            <w:tab/>
          </w:r>
          <w:r>
            <w:rPr>
              <w:rFonts w:eastAsia="黑体"/>
              <w:color w:val="000000" w:themeColor="text1"/>
              <w:sz w:val="21"/>
              <w14:textFill>
                <w14:solidFill>
                  <w14:schemeClr w14:val="tx1"/>
                </w14:solidFill>
              </w14:textFill>
            </w:rPr>
            <w:fldChar w:fldCharType="begin"/>
          </w:r>
          <w:r>
            <w:rPr>
              <w:rFonts w:eastAsia="黑体"/>
              <w:color w:val="000000" w:themeColor="text1"/>
              <w:sz w:val="21"/>
              <w14:textFill>
                <w14:solidFill>
                  <w14:schemeClr w14:val="tx1"/>
                </w14:solidFill>
              </w14:textFill>
            </w:rPr>
            <w:instrText xml:space="preserve"> PAGEREF _Toc5201 \h </w:instrText>
          </w:r>
          <w:r>
            <w:rPr>
              <w:rFonts w:eastAsia="黑体"/>
              <w:color w:val="000000" w:themeColor="text1"/>
              <w:sz w:val="21"/>
              <w14:textFill>
                <w14:solidFill>
                  <w14:schemeClr w14:val="tx1"/>
                </w14:solidFill>
              </w14:textFill>
            </w:rPr>
            <w:fldChar w:fldCharType="separate"/>
          </w:r>
          <w:r>
            <w:rPr>
              <w:rFonts w:eastAsia="黑体"/>
              <w:color w:val="000000" w:themeColor="text1"/>
              <w:sz w:val="21"/>
              <w14:textFill>
                <w14:solidFill>
                  <w14:schemeClr w14:val="tx1"/>
                </w14:solidFill>
              </w14:textFill>
            </w:rPr>
            <w:t>1</w:t>
          </w:r>
          <w:r>
            <w:rPr>
              <w:rFonts w:eastAsia="黑体"/>
              <w:color w:val="000000" w:themeColor="text1"/>
              <w:sz w:val="21"/>
              <w14:textFill>
                <w14:solidFill>
                  <w14:schemeClr w14:val="tx1"/>
                </w14:solidFill>
              </w14:textFill>
            </w:rPr>
            <w:fldChar w:fldCharType="end"/>
          </w:r>
          <w:r>
            <w:rPr>
              <w:rFonts w:eastAsia="黑体"/>
              <w:color w:val="000000" w:themeColor="text1"/>
              <w:sz w:val="21"/>
              <w:lang w:val="en-US" w:eastAsia="zh-CN"/>
              <w14:textFill>
                <w14:solidFill>
                  <w14:schemeClr w14:val="tx1"/>
                </w14:solidFill>
              </w14:textFill>
            </w:rPr>
            <w:fldChar w:fldCharType="end"/>
          </w:r>
        </w:p>
        <w:p w14:paraId="7BF6B86B">
          <w:pPr>
            <w:pStyle w:val="8"/>
            <w:tabs>
              <w:tab w:val="right" w:leader="dot" w:pos="8306"/>
            </w:tabs>
            <w:jc w:val="center"/>
            <w:rPr>
              <w:rFonts w:eastAsia="黑体"/>
              <w:color w:val="000000" w:themeColor="text1"/>
              <w:sz w:val="21"/>
              <w14:textFill>
                <w14:solidFill>
                  <w14:schemeClr w14:val="tx1"/>
                </w14:solidFill>
              </w14:textFill>
            </w:rPr>
          </w:pPr>
          <w:r>
            <w:rPr>
              <w:rFonts w:eastAsia="黑体"/>
              <w:color w:val="000000" w:themeColor="text1"/>
              <w:sz w:val="21"/>
              <w:lang w:val="en-US" w:eastAsia="zh-CN"/>
              <w14:textFill>
                <w14:solidFill>
                  <w14:schemeClr w14:val="tx1"/>
                </w14:solidFill>
              </w14:textFill>
            </w:rPr>
            <w:fldChar w:fldCharType="begin"/>
          </w:r>
          <w:r>
            <w:rPr>
              <w:rFonts w:eastAsia="黑体"/>
              <w:color w:val="000000" w:themeColor="text1"/>
              <w:sz w:val="21"/>
              <w:lang w:val="en-US" w:eastAsia="zh-CN"/>
              <w14:textFill>
                <w14:solidFill>
                  <w14:schemeClr w14:val="tx1"/>
                </w14:solidFill>
              </w14:textFill>
            </w:rPr>
            <w:instrText xml:space="preserve"> HYPERLINK \l _Toc19070 </w:instrText>
          </w:r>
          <w:r>
            <w:rPr>
              <w:rFonts w:eastAsia="黑体"/>
              <w:color w:val="000000" w:themeColor="text1"/>
              <w:sz w:val="21"/>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14:textFill>
                <w14:solidFill>
                  <w14:schemeClr w14:val="tx1"/>
                </w14:solidFill>
              </w14:textFill>
            </w:rPr>
            <w:t>三、修业年限</w:t>
          </w:r>
          <w:r>
            <w:rPr>
              <w:rFonts w:eastAsia="黑体"/>
              <w:color w:val="000000" w:themeColor="text1"/>
              <w:sz w:val="21"/>
              <w14:textFill>
                <w14:solidFill>
                  <w14:schemeClr w14:val="tx1"/>
                </w14:solidFill>
              </w14:textFill>
            </w:rPr>
            <w:tab/>
          </w:r>
          <w:r>
            <w:rPr>
              <w:rFonts w:eastAsia="黑体"/>
              <w:color w:val="000000" w:themeColor="text1"/>
              <w:sz w:val="21"/>
              <w14:textFill>
                <w14:solidFill>
                  <w14:schemeClr w14:val="tx1"/>
                </w14:solidFill>
              </w14:textFill>
            </w:rPr>
            <w:fldChar w:fldCharType="begin"/>
          </w:r>
          <w:r>
            <w:rPr>
              <w:rFonts w:eastAsia="黑体"/>
              <w:color w:val="000000" w:themeColor="text1"/>
              <w:sz w:val="21"/>
              <w14:textFill>
                <w14:solidFill>
                  <w14:schemeClr w14:val="tx1"/>
                </w14:solidFill>
              </w14:textFill>
            </w:rPr>
            <w:instrText xml:space="preserve"> PAGEREF _Toc19070 \h </w:instrText>
          </w:r>
          <w:r>
            <w:rPr>
              <w:rFonts w:eastAsia="黑体"/>
              <w:color w:val="000000" w:themeColor="text1"/>
              <w:sz w:val="21"/>
              <w14:textFill>
                <w14:solidFill>
                  <w14:schemeClr w14:val="tx1"/>
                </w14:solidFill>
              </w14:textFill>
            </w:rPr>
            <w:fldChar w:fldCharType="separate"/>
          </w:r>
          <w:r>
            <w:rPr>
              <w:rFonts w:eastAsia="黑体"/>
              <w:color w:val="000000" w:themeColor="text1"/>
              <w:sz w:val="21"/>
              <w14:textFill>
                <w14:solidFill>
                  <w14:schemeClr w14:val="tx1"/>
                </w14:solidFill>
              </w14:textFill>
            </w:rPr>
            <w:t>1</w:t>
          </w:r>
          <w:r>
            <w:rPr>
              <w:rFonts w:eastAsia="黑体"/>
              <w:color w:val="000000" w:themeColor="text1"/>
              <w:sz w:val="21"/>
              <w14:textFill>
                <w14:solidFill>
                  <w14:schemeClr w14:val="tx1"/>
                </w14:solidFill>
              </w14:textFill>
            </w:rPr>
            <w:fldChar w:fldCharType="end"/>
          </w:r>
          <w:r>
            <w:rPr>
              <w:rFonts w:eastAsia="黑体"/>
              <w:color w:val="000000" w:themeColor="text1"/>
              <w:sz w:val="21"/>
              <w:lang w:val="en-US" w:eastAsia="zh-CN"/>
              <w14:textFill>
                <w14:solidFill>
                  <w14:schemeClr w14:val="tx1"/>
                </w14:solidFill>
              </w14:textFill>
            </w:rPr>
            <w:fldChar w:fldCharType="end"/>
          </w:r>
        </w:p>
        <w:p w14:paraId="16BD57D4">
          <w:pPr>
            <w:pStyle w:val="8"/>
            <w:tabs>
              <w:tab w:val="right" w:leader="dot" w:pos="8306"/>
            </w:tabs>
            <w:jc w:val="center"/>
            <w:rPr>
              <w:color w:val="000000" w:themeColor="text1"/>
              <w14:textFill>
                <w14:solidFill>
                  <w14:schemeClr w14:val="tx1"/>
                </w14:solidFill>
              </w14:textFill>
            </w:rPr>
          </w:pPr>
          <w:r>
            <w:rPr>
              <w:rFonts w:eastAsia="黑体"/>
              <w:color w:val="000000" w:themeColor="text1"/>
              <w:sz w:val="21"/>
              <w:lang w:val="en-US" w:eastAsia="zh-CN"/>
              <w14:textFill>
                <w14:solidFill>
                  <w14:schemeClr w14:val="tx1"/>
                </w14:solidFill>
              </w14:textFill>
            </w:rPr>
            <w:fldChar w:fldCharType="begin"/>
          </w:r>
          <w:r>
            <w:rPr>
              <w:rFonts w:eastAsia="黑体"/>
              <w:color w:val="000000" w:themeColor="text1"/>
              <w:sz w:val="21"/>
              <w:lang w:val="en-US" w:eastAsia="zh-CN"/>
              <w14:textFill>
                <w14:solidFill>
                  <w14:schemeClr w14:val="tx1"/>
                </w14:solidFill>
              </w14:textFill>
            </w:rPr>
            <w:instrText xml:space="preserve"> HYPERLINK \l _Toc9494 </w:instrText>
          </w:r>
          <w:r>
            <w:rPr>
              <w:rFonts w:eastAsia="黑体"/>
              <w:color w:val="000000" w:themeColor="text1"/>
              <w:sz w:val="21"/>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14:textFill>
                <w14:solidFill>
                  <w14:schemeClr w14:val="tx1"/>
                </w14:solidFill>
              </w14:textFill>
            </w:rPr>
            <w:t>四、职业面向及主要续接专业</w:t>
          </w:r>
          <w:r>
            <w:rPr>
              <w:rFonts w:eastAsia="黑体"/>
              <w:color w:val="000000" w:themeColor="text1"/>
              <w:sz w:val="21"/>
              <w14:textFill>
                <w14:solidFill>
                  <w14:schemeClr w14:val="tx1"/>
                </w14:solidFill>
              </w14:textFill>
            </w:rPr>
            <w:tab/>
          </w:r>
          <w:r>
            <w:rPr>
              <w:rFonts w:eastAsia="黑体"/>
              <w:color w:val="000000" w:themeColor="text1"/>
              <w:sz w:val="21"/>
              <w14:textFill>
                <w14:solidFill>
                  <w14:schemeClr w14:val="tx1"/>
                </w14:solidFill>
              </w14:textFill>
            </w:rPr>
            <w:fldChar w:fldCharType="begin"/>
          </w:r>
          <w:r>
            <w:rPr>
              <w:rFonts w:eastAsia="黑体"/>
              <w:color w:val="000000" w:themeColor="text1"/>
              <w:sz w:val="21"/>
              <w14:textFill>
                <w14:solidFill>
                  <w14:schemeClr w14:val="tx1"/>
                </w14:solidFill>
              </w14:textFill>
            </w:rPr>
            <w:instrText xml:space="preserve"> PAGEREF _Toc9494 \h </w:instrText>
          </w:r>
          <w:r>
            <w:rPr>
              <w:rFonts w:eastAsia="黑体"/>
              <w:color w:val="000000" w:themeColor="text1"/>
              <w:sz w:val="21"/>
              <w14:textFill>
                <w14:solidFill>
                  <w14:schemeClr w14:val="tx1"/>
                </w14:solidFill>
              </w14:textFill>
            </w:rPr>
            <w:fldChar w:fldCharType="separate"/>
          </w:r>
          <w:r>
            <w:rPr>
              <w:rFonts w:eastAsia="黑体"/>
              <w:color w:val="000000" w:themeColor="text1"/>
              <w:sz w:val="21"/>
              <w14:textFill>
                <w14:solidFill>
                  <w14:schemeClr w14:val="tx1"/>
                </w14:solidFill>
              </w14:textFill>
            </w:rPr>
            <w:t>1</w:t>
          </w:r>
          <w:r>
            <w:rPr>
              <w:rFonts w:eastAsia="黑体"/>
              <w:color w:val="000000" w:themeColor="text1"/>
              <w:sz w:val="21"/>
              <w14:textFill>
                <w14:solidFill>
                  <w14:schemeClr w14:val="tx1"/>
                </w14:solidFill>
              </w14:textFill>
            </w:rPr>
            <w:fldChar w:fldCharType="end"/>
          </w:r>
          <w:r>
            <w:rPr>
              <w:rFonts w:eastAsia="黑体"/>
              <w:color w:val="000000" w:themeColor="text1"/>
              <w:sz w:val="21"/>
              <w:lang w:val="en-US" w:eastAsia="zh-CN"/>
              <w14:textFill>
                <w14:solidFill>
                  <w14:schemeClr w14:val="tx1"/>
                </w14:solidFill>
              </w14:textFill>
            </w:rPr>
            <w:fldChar w:fldCharType="end"/>
          </w:r>
        </w:p>
        <w:p w14:paraId="294BF19B">
          <w:pPr>
            <w:pStyle w:val="8"/>
            <w:tabs>
              <w:tab w:val="right" w:leader="dot" w:pos="8306"/>
            </w:tabs>
            <w:jc w:val="center"/>
            <w:rPr>
              <w:rFonts w:hint="eastAsia" w:ascii="Times New Roman" w:hAnsi="Times New Roman" w:eastAsia="仿宋_GB2312" w:cs="Times New Roman"/>
              <w:snapToGrid w:val="0"/>
              <w:color w:val="000000"/>
              <w:kern w:val="0"/>
              <w:sz w:val="21"/>
              <w:szCs w:val="21"/>
              <w:lang w:val="en-US" w:eastAsia="zh-CN" w:bidi="ar-SA"/>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_Toc6306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（一）职业面向</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_Toc6306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1</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24511773">
          <w:pPr>
            <w:pStyle w:val="8"/>
            <w:tabs>
              <w:tab w:val="right" w:leader="dot" w:pos="8306"/>
            </w:tabs>
            <w:jc w:val="center"/>
            <w:rPr>
              <w:color w:val="000000" w:themeColor="text1"/>
              <w14:textFill>
                <w14:solidFill>
                  <w14:schemeClr w14:val="tx1"/>
                </w14:solidFill>
              </w14:textFill>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_Toc1013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（二）主要接续专业</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_Toc1013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1</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567C6F16">
          <w:pPr>
            <w:pStyle w:val="8"/>
            <w:tabs>
              <w:tab w:val="right" w:leader="dot" w:pos="8306"/>
            </w:tabs>
            <w:jc w:val="center"/>
            <w:rPr>
              <w:color w:val="000000" w:themeColor="text1"/>
              <w14:textFill>
                <w14:solidFill>
                  <w14:schemeClr w14:val="tx1"/>
                </w14:solidFill>
              </w14:textFill>
            </w:rPr>
          </w:pPr>
          <w:r>
            <w:rPr>
              <w:color w:val="000000" w:themeColor="text1"/>
              <w:lang w:val="en-US" w:eastAsia="zh-CN"/>
              <w14:textFill>
                <w14:solidFill>
                  <w14:schemeClr w14:val="tx1"/>
                </w14:solidFill>
              </w14:textFill>
            </w:rPr>
            <w:fldChar w:fldCharType="begin"/>
          </w:r>
          <w:r>
            <w:rPr>
              <w:color w:val="000000" w:themeColor="text1"/>
              <w:lang w:val="en-US" w:eastAsia="zh-CN"/>
              <w14:textFill>
                <w14:solidFill>
                  <w14:schemeClr w14:val="tx1"/>
                </w14:solidFill>
              </w14:textFill>
            </w:rPr>
            <w:instrText xml:space="preserve"> HYPERLINK \l _Toc16456 </w:instrText>
          </w:r>
          <w:r>
            <w:rPr>
              <w:color w:val="000000" w:themeColor="text1"/>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lang w:val="en-US" w:eastAsia="zh-CN"/>
              <w14:textFill>
                <w14:solidFill>
                  <w14:schemeClr w14:val="tx1"/>
                </w14:solidFill>
              </w14:textFill>
            </w:rPr>
            <w:t>五、培养目标与培养规格</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_Toc16456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lang w:val="en-US" w:eastAsia="zh-CN"/>
              <w14:textFill>
                <w14:solidFill>
                  <w14:schemeClr w14:val="tx1"/>
                </w14:solidFill>
              </w14:textFill>
            </w:rPr>
            <w:fldChar w:fldCharType="end"/>
          </w:r>
        </w:p>
        <w:p w14:paraId="31C58E96">
          <w:pPr>
            <w:pStyle w:val="8"/>
            <w:tabs>
              <w:tab w:val="right" w:leader="dot" w:pos="8306"/>
            </w:tabs>
            <w:jc w:val="center"/>
            <w:rPr>
              <w:color w:val="000000" w:themeColor="text1"/>
              <w:lang w:val="en-US" w:eastAsia="zh-CN"/>
              <w14:textFill>
                <w14:solidFill>
                  <w14:schemeClr w14:val="tx1"/>
                </w14:solidFill>
              </w14:textFill>
            </w:rPr>
          </w:pPr>
          <w:r>
            <w:rPr>
              <w:color w:val="000000" w:themeColor="text1"/>
              <w:lang w:val="en-US" w:eastAsia="zh-CN"/>
              <w14:textFill>
                <w14:solidFill>
                  <w14:schemeClr w14:val="tx1"/>
                </w14:solidFill>
              </w14:textFill>
            </w:rPr>
            <w:fldChar w:fldCharType="begin"/>
          </w:r>
          <w:r>
            <w:rPr>
              <w:color w:val="000000" w:themeColor="text1"/>
              <w:lang w:val="en-US" w:eastAsia="zh-CN"/>
              <w14:textFill>
                <w14:solidFill>
                  <w14:schemeClr w14:val="tx1"/>
                </w14:solidFill>
              </w14:textFill>
            </w:rPr>
            <w:instrText xml:space="preserve"> HYPERLINK \l _Toc24537 </w:instrText>
          </w:r>
          <w:r>
            <w:rPr>
              <w:color w:val="000000" w:themeColor="text1"/>
              <w:lang w:val="en-US" w:eastAsia="zh-CN"/>
              <w14:textFill>
                <w14:solidFill>
                  <w14:schemeClr w14:val="tx1"/>
                </w14:solidFill>
              </w14:textFill>
            </w:rPr>
            <w:fldChar w:fldCharType="separate"/>
          </w:r>
          <w:r>
            <w:rPr>
              <w:rFonts w:hint="eastAsia" w:ascii="Times New Roman" w:hAnsi="Times New Roman" w:eastAsia="仿宋_GB2312" w:cs="Times New Roman"/>
              <w:snapToGrid w:val="0"/>
              <w:color w:val="000000"/>
              <w:kern w:val="0"/>
              <w:sz w:val="21"/>
              <w:szCs w:val="21"/>
              <w:lang w:val="en-US" w:eastAsia="zh-CN" w:bidi="ar-SA"/>
            </w:rPr>
            <w:t>（一）培养目标</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_Toc24537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lang w:val="en-US" w:eastAsia="zh-CN"/>
              <w14:textFill>
                <w14:solidFill>
                  <w14:schemeClr w14:val="tx1"/>
                </w14:solidFill>
              </w14:textFill>
            </w:rPr>
            <w:fldChar w:fldCharType="end"/>
          </w:r>
        </w:p>
        <w:p w14:paraId="7078A27B">
          <w:pPr>
            <w:pStyle w:val="8"/>
            <w:tabs>
              <w:tab w:val="right" w:leader="dot" w:pos="8306"/>
            </w:tabs>
            <w:jc w:val="center"/>
          </w:pPr>
          <w:r>
            <w:rPr>
              <w:color w:val="000000" w:themeColor="text1"/>
              <w:lang w:val="en-US" w:eastAsia="zh-CN"/>
              <w14:textFill>
                <w14:solidFill>
                  <w14:schemeClr w14:val="tx1"/>
                </w14:solidFill>
              </w14:textFill>
            </w:rPr>
            <w:fldChar w:fldCharType="begin"/>
          </w:r>
          <w:r>
            <w:rPr>
              <w:color w:val="000000" w:themeColor="text1"/>
              <w:lang w:val="en-US" w:eastAsia="zh-CN"/>
              <w14:textFill>
                <w14:solidFill>
                  <w14:schemeClr w14:val="tx1"/>
                </w14:solidFill>
              </w14:textFill>
            </w:rPr>
            <w:instrText xml:space="preserve"> HYPERLINK \l _Toc24537 </w:instrText>
          </w:r>
          <w:r>
            <w:rPr>
              <w:color w:val="000000" w:themeColor="text1"/>
              <w:lang w:val="en-US" w:eastAsia="zh-CN"/>
              <w14:textFill>
                <w14:solidFill>
                  <w14:schemeClr w14:val="tx1"/>
                </w14:solidFill>
              </w14:textFill>
            </w:rPr>
            <w:fldChar w:fldCharType="separate"/>
          </w:r>
          <w:r>
            <w:rPr>
              <w:rFonts w:hint="eastAsia" w:ascii="Times New Roman" w:hAnsi="Times New Roman" w:eastAsia="仿宋_GB2312" w:cs="Times New Roman"/>
              <w:snapToGrid w:val="0"/>
              <w:color w:val="000000"/>
              <w:kern w:val="0"/>
              <w:sz w:val="21"/>
              <w:szCs w:val="21"/>
              <w:lang w:val="en-US" w:eastAsia="zh-CN" w:bidi="ar-SA"/>
            </w:rPr>
            <w:t>（二）培养规格</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_Toc24537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lang w:val="en-US" w:eastAsia="zh-CN"/>
              <w14:textFill>
                <w14:solidFill>
                  <w14:schemeClr w14:val="tx1"/>
                </w14:solidFill>
              </w14:textFill>
            </w:rPr>
            <w:fldChar w:fldCharType="end"/>
          </w:r>
        </w:p>
        <w:p w14:paraId="4BEDF728">
          <w:pPr>
            <w:pStyle w:val="8"/>
            <w:tabs>
              <w:tab w:val="right" w:leader="dot" w:pos="8306"/>
            </w:tabs>
            <w:jc w:val="center"/>
            <w:rPr>
              <w:color w:val="000000" w:themeColor="text1"/>
              <w14:textFill>
                <w14:solidFill>
                  <w14:schemeClr w14:val="tx1"/>
                </w14:solidFill>
              </w14:textFill>
            </w:rPr>
          </w:pPr>
          <w:r>
            <w:rPr>
              <w:color w:val="000000" w:themeColor="text1"/>
              <w:lang w:val="en-US" w:eastAsia="zh-CN"/>
              <w14:textFill>
                <w14:solidFill>
                  <w14:schemeClr w14:val="tx1"/>
                </w14:solidFill>
              </w14:textFill>
            </w:rPr>
            <w:fldChar w:fldCharType="begin"/>
          </w:r>
          <w:r>
            <w:rPr>
              <w:color w:val="000000" w:themeColor="text1"/>
              <w:lang w:val="en-US" w:eastAsia="zh-CN"/>
              <w14:textFill>
                <w14:solidFill>
                  <w14:schemeClr w14:val="tx1"/>
                </w14:solidFill>
              </w14:textFill>
            </w:rPr>
            <w:instrText xml:space="preserve"> HYPERLINK \l _Toc21818 </w:instrText>
          </w:r>
          <w:r>
            <w:rPr>
              <w:color w:val="000000" w:themeColor="text1"/>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lang w:val="en-US" w:eastAsia="zh-CN"/>
              <w14:textFill>
                <w14:solidFill>
                  <w14:schemeClr w14:val="tx1"/>
                </w14:solidFill>
              </w14:textFill>
            </w:rPr>
            <w:t>六、课程设置及要求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_Toc21818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4</w:t>
          </w:r>
          <w:r>
            <w:rPr>
              <w:color w:val="000000" w:themeColor="text1"/>
              <w14:textFill>
                <w14:solidFill>
                  <w14:schemeClr w14:val="tx1"/>
                </w14:solidFill>
              </w14:textFill>
            </w:rPr>
            <w:fldChar w:fldCharType="end"/>
          </w:r>
          <w:r>
            <w:rPr>
              <w:color w:val="000000" w:themeColor="text1"/>
              <w:lang w:val="en-US" w:eastAsia="zh-CN"/>
              <w14:textFill>
                <w14:solidFill>
                  <w14:schemeClr w14:val="tx1"/>
                </w14:solidFill>
              </w14:textFill>
            </w:rPr>
            <w:fldChar w:fldCharType="end"/>
          </w:r>
        </w:p>
        <w:p w14:paraId="2D526B7E">
          <w:pPr>
            <w:pStyle w:val="8"/>
            <w:tabs>
              <w:tab w:val="right" w:leader="dot" w:pos="8306"/>
            </w:tabs>
            <w:jc w:val="center"/>
            <w:rPr>
              <w:rFonts w:hint="eastAsia" w:ascii="Times New Roman" w:hAnsi="Times New Roman" w:eastAsia="仿宋_GB2312" w:cs="Times New Roman"/>
              <w:snapToGrid w:val="0"/>
              <w:color w:val="000000"/>
              <w:kern w:val="0"/>
              <w:sz w:val="21"/>
              <w:szCs w:val="21"/>
              <w:lang w:val="en-US" w:eastAsia="zh-CN" w:bidi="ar-SA"/>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_Toc17350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（一）课程结构图</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_Toc17350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5</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2C37018E">
          <w:pPr>
            <w:pStyle w:val="8"/>
            <w:tabs>
              <w:tab w:val="right" w:leader="dot" w:pos="8306"/>
            </w:tabs>
            <w:jc w:val="center"/>
            <w:rPr>
              <w:rFonts w:hint="eastAsia" w:ascii="Times New Roman" w:hAnsi="Times New Roman" w:eastAsia="仿宋_GB2312" w:cs="Times New Roman"/>
              <w:snapToGrid w:val="0"/>
              <w:color w:val="000000"/>
              <w:kern w:val="0"/>
              <w:sz w:val="21"/>
              <w:szCs w:val="21"/>
              <w:lang w:val="en-US" w:eastAsia="zh-CN" w:bidi="ar-SA"/>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_Toc27465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（二）公共基础课设置及要求</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_Toc27465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5</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61658622">
          <w:pPr>
            <w:pStyle w:val="8"/>
            <w:tabs>
              <w:tab w:val="right" w:leader="dot" w:pos="8306"/>
            </w:tabs>
            <w:jc w:val="center"/>
            <w:rPr>
              <w:color w:val="000000" w:themeColor="text1"/>
              <w14:textFill>
                <w14:solidFill>
                  <w14:schemeClr w14:val="tx1"/>
                </w14:solidFill>
              </w14:textFill>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_Toc15805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（三）专业课课程设置及要求</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_Toc15805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12</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0E6659BB">
          <w:pPr>
            <w:pStyle w:val="8"/>
            <w:tabs>
              <w:tab w:val="right" w:leader="dot" w:pos="8306"/>
            </w:tabs>
            <w:jc w:val="center"/>
            <w:rPr>
              <w:rFonts w:hint="eastAsia" w:ascii="黑体" w:hAnsi="黑体" w:eastAsia="黑体" w:cs="黑体"/>
              <w:bCs w:val="0"/>
              <w:color w:val="000000" w:themeColor="text1"/>
              <w:spacing w:val="5"/>
              <w:sz w:val="21"/>
              <w:szCs w:val="30"/>
              <w:lang w:val="en-US" w:eastAsia="zh-CN"/>
              <w14:textFill>
                <w14:solidFill>
                  <w14:schemeClr w14:val="tx1"/>
                </w14:solidFill>
              </w14:textFill>
            </w:rPr>
          </w:pPr>
          <w:r>
            <w:rPr>
              <w:rFonts w:hint="eastAsia" w:ascii="黑体" w:hAnsi="黑体" w:eastAsia="黑体" w:cs="黑体"/>
              <w:bCs w:val="0"/>
              <w:color w:val="000000" w:themeColor="text1"/>
              <w:spacing w:val="5"/>
              <w:sz w:val="21"/>
              <w:szCs w:val="30"/>
              <w:lang w:val="en-US" w:eastAsia="zh-CN"/>
              <w14:textFill>
                <w14:solidFill>
                  <w14:schemeClr w14:val="tx1"/>
                </w14:solidFill>
              </w14:textFill>
            </w:rPr>
            <w:fldChar w:fldCharType="begin"/>
          </w:r>
          <w:r>
            <w:rPr>
              <w:rFonts w:hint="eastAsia" w:ascii="黑体" w:hAnsi="黑体" w:eastAsia="黑体" w:cs="黑体"/>
              <w:bCs w:val="0"/>
              <w:color w:val="000000" w:themeColor="text1"/>
              <w:spacing w:val="5"/>
              <w:sz w:val="21"/>
              <w:szCs w:val="30"/>
              <w:lang w:val="en-US" w:eastAsia="zh-CN"/>
              <w14:textFill>
                <w14:solidFill>
                  <w14:schemeClr w14:val="tx1"/>
                </w14:solidFill>
              </w14:textFill>
            </w:rPr>
            <w:instrText xml:space="preserve"> HYPERLINK \l _Toc17430 </w:instrText>
          </w:r>
          <w:r>
            <w:rPr>
              <w:rFonts w:hint="eastAsia" w:ascii="黑体" w:hAnsi="黑体" w:eastAsia="黑体" w:cs="黑体"/>
              <w:bCs w:val="0"/>
              <w:color w:val="000000" w:themeColor="text1"/>
              <w:spacing w:val="5"/>
              <w:sz w:val="21"/>
              <w:szCs w:val="30"/>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lang w:val="en-US" w:eastAsia="zh-CN"/>
              <w14:textFill>
                <w14:solidFill>
                  <w14:schemeClr w14:val="tx1"/>
                </w14:solidFill>
              </w14:textFill>
            </w:rPr>
            <w:t>七、教学进程总体安排</w:t>
          </w:r>
          <w:r>
            <w:rPr>
              <w:rFonts w:hint="eastAsia" w:eastAsia="黑体"/>
              <w:color w:val="000000" w:themeColor="text1"/>
              <w:sz w:val="21"/>
              <w:lang w:val="en-US" w:eastAsia="zh-CN"/>
              <w14:textFill>
                <w14:solidFill>
                  <w14:schemeClr w14:val="tx1"/>
                </w14:solidFill>
              </w14:textFill>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_Toc17430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17</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黑体" w:hAnsi="黑体" w:eastAsia="黑体" w:cs="黑体"/>
              <w:bCs w:val="0"/>
              <w:color w:val="000000" w:themeColor="text1"/>
              <w:spacing w:val="5"/>
              <w:sz w:val="21"/>
              <w:szCs w:val="30"/>
              <w:lang w:val="en-US" w:eastAsia="zh-CN"/>
              <w14:textFill>
                <w14:solidFill>
                  <w14:schemeClr w14:val="tx1"/>
                </w14:solidFill>
              </w14:textFill>
            </w:rPr>
            <w:fldChar w:fldCharType="end"/>
          </w:r>
        </w:p>
        <w:p w14:paraId="68E0603C">
          <w:pPr>
            <w:pStyle w:val="8"/>
            <w:tabs>
              <w:tab w:val="right" w:leader="dot" w:pos="8306"/>
            </w:tabs>
            <w:jc w:val="center"/>
            <w:rPr>
              <w:color w:val="000000" w:themeColor="text1"/>
              <w14:textFill>
                <w14:solidFill>
                  <w14:schemeClr w14:val="tx1"/>
                </w14:solidFill>
              </w14:textFill>
            </w:rPr>
          </w:pPr>
          <w:r>
            <w:rPr>
              <w:rFonts w:hint="eastAsia" w:ascii="黑体" w:hAnsi="黑体" w:eastAsia="黑体" w:cs="黑体"/>
              <w:bCs w:val="0"/>
              <w:color w:val="000000" w:themeColor="text1"/>
              <w:spacing w:val="5"/>
              <w:sz w:val="21"/>
              <w:szCs w:val="30"/>
              <w:lang w:val="en-US" w:eastAsia="zh-CN"/>
              <w14:textFill>
                <w14:solidFill>
                  <w14:schemeClr w14:val="tx1"/>
                </w14:solidFill>
              </w14:textFill>
            </w:rPr>
            <w:fldChar w:fldCharType="begin"/>
          </w:r>
          <w:r>
            <w:rPr>
              <w:rFonts w:hint="eastAsia" w:ascii="黑体" w:hAnsi="黑体" w:eastAsia="黑体" w:cs="黑体"/>
              <w:bCs w:val="0"/>
              <w:color w:val="000000" w:themeColor="text1"/>
              <w:spacing w:val="5"/>
              <w:sz w:val="21"/>
              <w:szCs w:val="30"/>
              <w:lang w:val="en-US" w:eastAsia="zh-CN"/>
              <w14:textFill>
                <w14:solidFill>
                  <w14:schemeClr w14:val="tx1"/>
                </w14:solidFill>
              </w14:textFill>
            </w:rPr>
            <w:instrText xml:space="preserve"> HYPERLINK \l _Toc28126 </w:instrText>
          </w:r>
          <w:r>
            <w:rPr>
              <w:rFonts w:hint="eastAsia" w:ascii="黑体" w:hAnsi="黑体" w:eastAsia="黑体" w:cs="黑体"/>
              <w:bCs w:val="0"/>
              <w:color w:val="000000" w:themeColor="text1"/>
              <w:spacing w:val="5"/>
              <w:sz w:val="21"/>
              <w:szCs w:val="30"/>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lang w:val="en-US" w:eastAsia="zh-CN"/>
              <w14:textFill>
                <w14:solidFill>
                  <w14:schemeClr w14:val="tx1"/>
                </w14:solidFill>
              </w14:textFill>
            </w:rPr>
            <w:t>八、实施保障</w:t>
          </w:r>
          <w:r>
            <w:rPr>
              <w:rFonts w:hint="eastAsia" w:eastAsia="黑体"/>
              <w:color w:val="000000" w:themeColor="text1"/>
              <w:sz w:val="21"/>
              <w:lang w:val="en-US" w:eastAsia="zh-CN"/>
              <w14:textFill>
                <w14:solidFill>
                  <w14:schemeClr w14:val="tx1"/>
                </w14:solidFill>
              </w14:textFill>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_Toc28126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21</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黑体" w:hAnsi="黑体" w:eastAsia="黑体" w:cs="黑体"/>
              <w:bCs w:val="0"/>
              <w:color w:val="000000" w:themeColor="text1"/>
              <w:spacing w:val="5"/>
              <w:sz w:val="21"/>
              <w:szCs w:val="30"/>
              <w:lang w:val="en-US" w:eastAsia="zh-CN"/>
              <w14:textFill>
                <w14:solidFill>
                  <w14:schemeClr w14:val="tx1"/>
                </w14:solidFill>
              </w14:textFill>
            </w:rPr>
            <w:fldChar w:fldCharType="end"/>
          </w:r>
        </w:p>
        <w:p w14:paraId="3E08AD50">
          <w:pPr>
            <w:pStyle w:val="9"/>
            <w:tabs>
              <w:tab w:val="right" w:leader="dot" w:pos="8306"/>
            </w:tabs>
            <w:ind w:left="0" w:leftChars="0" w:firstLine="0" w:firstLineChars="0"/>
            <w:jc w:val="center"/>
            <w:rPr>
              <w:rFonts w:hint="eastAsia" w:ascii="Times New Roman" w:hAnsi="Times New Roman" w:eastAsia="仿宋_GB2312" w:cs="Times New Roman"/>
              <w:snapToGrid w:val="0"/>
              <w:color w:val="000000"/>
              <w:kern w:val="0"/>
              <w:sz w:val="21"/>
              <w:szCs w:val="21"/>
              <w:lang w:val="en-US" w:eastAsia="zh-CN" w:bidi="ar-SA"/>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_Toc22592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（一）师资队伍</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_Toc22592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21</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22CD68DA">
          <w:pPr>
            <w:pStyle w:val="9"/>
            <w:tabs>
              <w:tab w:val="right" w:leader="dot" w:pos="8306"/>
            </w:tabs>
            <w:ind w:left="0" w:leftChars="0" w:firstLine="0" w:firstLineChars="0"/>
            <w:jc w:val="center"/>
            <w:rPr>
              <w:rFonts w:hint="eastAsia" w:ascii="Times New Roman" w:hAnsi="Times New Roman" w:eastAsia="仿宋_GB2312" w:cs="Times New Roman"/>
              <w:snapToGrid w:val="0"/>
              <w:color w:val="000000"/>
              <w:kern w:val="0"/>
              <w:sz w:val="21"/>
              <w:szCs w:val="21"/>
              <w:lang w:val="en-US" w:eastAsia="zh-CN" w:bidi="ar-SA"/>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_Toc18265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（二）教学设施</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_Toc18265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23</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4EA41F6F">
          <w:pPr>
            <w:pStyle w:val="9"/>
            <w:tabs>
              <w:tab w:val="right" w:leader="dot" w:pos="8306"/>
            </w:tabs>
            <w:ind w:left="0" w:leftChars="0" w:firstLine="0" w:firstLineChars="0"/>
            <w:jc w:val="center"/>
            <w:rPr>
              <w:rFonts w:hint="eastAsia" w:ascii="Times New Roman" w:hAnsi="Times New Roman" w:eastAsia="仿宋_GB2312" w:cs="Times New Roman"/>
              <w:snapToGrid w:val="0"/>
              <w:color w:val="000000"/>
              <w:kern w:val="0"/>
              <w:sz w:val="21"/>
              <w:szCs w:val="21"/>
              <w:lang w:val="en-US" w:eastAsia="zh-CN" w:bidi="ar-SA"/>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_Toc32509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（三）教学资源</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_Toc32509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24</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050EC428">
          <w:pPr>
            <w:pStyle w:val="9"/>
            <w:tabs>
              <w:tab w:val="right" w:leader="dot" w:pos="8306"/>
            </w:tabs>
            <w:ind w:left="0" w:leftChars="0" w:firstLine="0" w:firstLineChars="0"/>
            <w:jc w:val="center"/>
            <w:rPr>
              <w:rFonts w:hint="eastAsia" w:ascii="Times New Roman" w:hAnsi="Times New Roman" w:eastAsia="仿宋_GB2312" w:cs="Times New Roman"/>
              <w:snapToGrid w:val="0"/>
              <w:color w:val="000000"/>
              <w:kern w:val="0"/>
              <w:sz w:val="21"/>
              <w:szCs w:val="21"/>
              <w:lang w:val="en-US" w:eastAsia="zh-CN" w:bidi="ar-SA"/>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_Toc28881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（四）教学方法</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_Toc28881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25</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57481164">
          <w:pPr>
            <w:pStyle w:val="9"/>
            <w:tabs>
              <w:tab w:val="right" w:leader="dot" w:pos="8306"/>
            </w:tabs>
            <w:ind w:left="0" w:leftChars="0" w:firstLine="0" w:firstLineChars="0"/>
            <w:jc w:val="center"/>
            <w:rPr>
              <w:rFonts w:hint="eastAsia" w:ascii="Times New Roman" w:hAnsi="Times New Roman" w:eastAsia="仿宋_GB2312" w:cs="Times New Roman"/>
              <w:snapToGrid w:val="0"/>
              <w:color w:val="000000"/>
              <w:kern w:val="0"/>
              <w:sz w:val="21"/>
              <w:szCs w:val="21"/>
              <w:lang w:val="en-US" w:eastAsia="zh-CN" w:bidi="ar-SA"/>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_Toc5750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（五）学习评价</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_Toc5750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25</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1DE40099">
          <w:pPr>
            <w:pStyle w:val="9"/>
            <w:tabs>
              <w:tab w:val="right" w:leader="dot" w:pos="8306"/>
            </w:tabs>
            <w:ind w:left="0" w:leftChars="0" w:firstLine="0" w:firstLineChars="0"/>
            <w:jc w:val="center"/>
            <w:rPr>
              <w:color w:val="000000" w:themeColor="text1"/>
              <w14:textFill>
                <w14:solidFill>
                  <w14:schemeClr w14:val="tx1"/>
                </w14:solidFill>
              </w14:textFill>
            </w:rPr>
          </w:pP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HYPERLINK \l _Toc31902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（六）质量管理</w:t>
          </w:r>
          <w:r>
            <w:rPr>
              <w:rFonts w:hint="eastAsia" w:ascii="Times New Roman" w:hAnsi="Times New Roman" w:eastAsia="仿宋_GB2312" w:cs="Times New Roman"/>
              <w:snapToGrid w:val="0"/>
              <w:color w:val="000000"/>
              <w:kern w:val="0"/>
              <w:sz w:val="21"/>
              <w:szCs w:val="21"/>
              <w:lang w:val="en-US" w:eastAsia="zh-CN" w:bidi="ar-SA"/>
            </w:rPr>
            <w:tab/>
          </w:r>
          <w:r>
            <w:rPr>
              <w:rFonts w:hint="eastAsia" w:ascii="Times New Roman" w:hAnsi="Times New Roman" w:eastAsia="仿宋_GB2312" w:cs="Times New Roman"/>
              <w:snapToGrid w:val="0"/>
              <w:color w:val="000000"/>
              <w:kern w:val="0"/>
              <w:sz w:val="21"/>
              <w:szCs w:val="21"/>
              <w:lang w:val="en-US" w:eastAsia="zh-CN" w:bidi="ar-SA"/>
            </w:rPr>
            <w:fldChar w:fldCharType="begin"/>
          </w:r>
          <w:r>
            <w:rPr>
              <w:rFonts w:hint="eastAsia" w:ascii="Times New Roman" w:hAnsi="Times New Roman" w:eastAsia="仿宋_GB2312" w:cs="Times New Roman"/>
              <w:snapToGrid w:val="0"/>
              <w:color w:val="000000"/>
              <w:kern w:val="0"/>
              <w:sz w:val="21"/>
              <w:szCs w:val="21"/>
              <w:lang w:val="en-US" w:eastAsia="zh-CN" w:bidi="ar-SA"/>
            </w:rPr>
            <w:instrText xml:space="preserve"> PAGEREF _Toc31902 \h </w:instrText>
          </w:r>
          <w:r>
            <w:rPr>
              <w:rFonts w:hint="eastAsia" w:ascii="Times New Roman" w:hAnsi="Times New Roman" w:eastAsia="仿宋_GB2312" w:cs="Times New Roman"/>
              <w:snapToGrid w:val="0"/>
              <w:color w:val="000000"/>
              <w:kern w:val="0"/>
              <w:sz w:val="21"/>
              <w:szCs w:val="21"/>
              <w:lang w:val="en-US" w:eastAsia="zh-CN" w:bidi="ar-SA"/>
            </w:rPr>
            <w:fldChar w:fldCharType="separate"/>
          </w:r>
          <w:r>
            <w:rPr>
              <w:rFonts w:hint="eastAsia" w:ascii="Times New Roman" w:hAnsi="Times New Roman" w:eastAsia="仿宋_GB2312" w:cs="Times New Roman"/>
              <w:snapToGrid w:val="0"/>
              <w:color w:val="000000"/>
              <w:kern w:val="0"/>
              <w:sz w:val="21"/>
              <w:szCs w:val="21"/>
              <w:lang w:val="en-US" w:eastAsia="zh-CN" w:bidi="ar-SA"/>
            </w:rPr>
            <w:t>26</w:t>
          </w:r>
          <w:r>
            <w:rPr>
              <w:rFonts w:hint="eastAsia" w:ascii="Times New Roman" w:hAnsi="Times New Roman" w:eastAsia="仿宋_GB2312" w:cs="Times New Roman"/>
              <w:snapToGrid w:val="0"/>
              <w:color w:val="000000"/>
              <w:kern w:val="0"/>
              <w:sz w:val="21"/>
              <w:szCs w:val="21"/>
              <w:lang w:val="en-US" w:eastAsia="zh-CN" w:bidi="ar-SA"/>
            </w:rPr>
            <w:fldChar w:fldCharType="end"/>
          </w:r>
          <w:r>
            <w:rPr>
              <w:rFonts w:hint="eastAsia" w:ascii="Times New Roman" w:hAnsi="Times New Roman" w:eastAsia="仿宋_GB2312" w:cs="Times New Roman"/>
              <w:snapToGrid w:val="0"/>
              <w:color w:val="000000"/>
              <w:kern w:val="0"/>
              <w:sz w:val="21"/>
              <w:szCs w:val="21"/>
              <w:lang w:val="en-US" w:eastAsia="zh-CN" w:bidi="ar-SA"/>
            </w:rPr>
            <w:fldChar w:fldCharType="end"/>
          </w:r>
        </w:p>
        <w:p w14:paraId="02B9EF9B">
          <w:pPr>
            <w:pStyle w:val="8"/>
            <w:tabs>
              <w:tab w:val="right" w:leader="dot" w:pos="8306"/>
            </w:tabs>
            <w:jc w:val="center"/>
            <w:rPr>
              <w:color w:val="000000" w:themeColor="text1"/>
              <w14:textFill>
                <w14:solidFill>
                  <w14:schemeClr w14:val="tx1"/>
                </w14:solidFill>
              </w14:textFill>
            </w:rPr>
          </w:pPr>
          <w:r>
            <w:rPr>
              <w:color w:val="000000" w:themeColor="text1"/>
              <w:lang w:val="en-US" w:eastAsia="zh-CN"/>
              <w14:textFill>
                <w14:solidFill>
                  <w14:schemeClr w14:val="tx1"/>
                </w14:solidFill>
              </w14:textFill>
            </w:rPr>
            <w:fldChar w:fldCharType="begin"/>
          </w:r>
          <w:r>
            <w:rPr>
              <w:color w:val="000000" w:themeColor="text1"/>
              <w:lang w:val="en-US" w:eastAsia="zh-CN"/>
              <w14:textFill>
                <w14:solidFill>
                  <w14:schemeClr w14:val="tx1"/>
                </w14:solidFill>
              </w14:textFill>
            </w:rPr>
            <w:instrText xml:space="preserve"> HYPERLINK \l _Toc77 </w:instrText>
          </w:r>
          <w:r>
            <w:rPr>
              <w:color w:val="000000" w:themeColor="text1"/>
              <w:lang w:val="en-US" w:eastAsia="zh-CN"/>
              <w14:textFill>
                <w14:solidFill>
                  <w14:schemeClr w14:val="tx1"/>
                </w14:solidFill>
              </w14:textFill>
            </w:rPr>
            <w:fldChar w:fldCharType="separate"/>
          </w:r>
          <w:r>
            <w:rPr>
              <w:rFonts w:hint="eastAsia" w:ascii="黑体" w:hAnsi="黑体" w:eastAsia="黑体" w:cs="黑体"/>
              <w:bCs w:val="0"/>
              <w:color w:val="000000" w:themeColor="text1"/>
              <w:spacing w:val="5"/>
              <w:sz w:val="21"/>
              <w:szCs w:val="30"/>
              <w:lang w:val="en-US" w:eastAsia="zh-CN"/>
              <w14:textFill>
                <w14:solidFill>
                  <w14:schemeClr w14:val="tx1"/>
                </w14:solidFill>
              </w14:textFill>
            </w:rPr>
            <w:t>九、毕业要求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27</w:t>
          </w:r>
          <w:r>
            <w:rPr>
              <w:color w:val="000000" w:themeColor="text1"/>
              <w14:textFill>
                <w14:solidFill>
                  <w14:schemeClr w14:val="tx1"/>
                </w14:solidFill>
              </w14:textFill>
            </w:rPr>
            <w:fldChar w:fldCharType="end"/>
          </w:r>
          <w:r>
            <w:rPr>
              <w:color w:val="000000" w:themeColor="text1"/>
              <w:lang w:val="en-US" w:eastAsia="zh-CN"/>
              <w14:textFill>
                <w14:solidFill>
                  <w14:schemeClr w14:val="tx1"/>
                </w14:solidFill>
              </w14:textFill>
            </w:rPr>
            <w:fldChar w:fldCharType="end"/>
          </w:r>
        </w:p>
        <w:p w14:paraId="734801CF">
          <w:pPr>
            <w:jc w:val="center"/>
            <w:rPr>
              <w:rFonts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r>
            <w:rPr>
              <w:color w:val="000000" w:themeColor="text1"/>
              <w:lang w:val="en-US" w:eastAsia="zh-CN"/>
              <w14:textFill>
                <w14:solidFill>
                  <w14:schemeClr w14:val="tx1"/>
                </w14:solidFill>
              </w14:textFill>
            </w:rPr>
            <w:fldChar w:fldCharType="end"/>
          </w:r>
        </w:p>
      </w:sdtContent>
    </w:sdt>
    <w:p w14:paraId="0C02BF8A">
      <w:pPr>
        <w:rPr>
          <w:rFonts w:hint="eastAsia"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pPr>
    </w:p>
    <w:p w14:paraId="6836393F">
      <w:pPr>
        <w:tabs>
          <w:tab w:val="left" w:pos="5767"/>
        </w:tabs>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tab/>
      </w:r>
    </w:p>
    <w:p w14:paraId="30AC0819">
      <w:pP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p>
    <w:p w14:paraId="03155E6A">
      <w:pP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pPr>
      <w: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br w:type="page"/>
      </w:r>
    </w:p>
    <w:p w14:paraId="74AAF939">
      <w:pPr>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b/>
          <w:bCs/>
          <w:color w:val="000000" w:themeColor="text1"/>
          <w:kern w:val="0"/>
          <w:sz w:val="30"/>
          <w:szCs w:val="30"/>
          <w:lang w:val="en-US" w:eastAsia="zh-CN" w:bidi="ar"/>
          <w14:textFill>
            <w14:solidFill>
              <w14:schemeClr w14:val="tx1"/>
            </w14:solidFill>
          </w14:textFill>
        </w:rPr>
        <w:sectPr>
          <w:footerReference r:id="rId5" w:type="first"/>
          <w:footerReference r:id="rId4" w:type="default"/>
          <w:pgSz w:w="11906" w:h="16838"/>
          <w:pgMar w:top="1440" w:right="1080" w:bottom="1440" w:left="1080" w:header="851" w:footer="992" w:gutter="0"/>
          <w:pgNumType w:fmt="decimal" w:start="1"/>
          <w:cols w:space="425" w:num="1"/>
          <w:docGrid w:type="lines" w:linePitch="312" w:charSpace="0"/>
        </w:sectPr>
      </w:pPr>
    </w:p>
    <w:p w14:paraId="7BC37AA1">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bookmarkStart w:id="0" w:name="_Toc21221"/>
      <w:r>
        <w:rPr>
          <w:rFonts w:hint="eastAsia" w:ascii="黑体" w:hAnsi="黑体" w:eastAsia="黑体" w:cs="黑体"/>
          <w:snapToGrid w:val="0"/>
          <w:color w:val="000000"/>
          <w:kern w:val="0"/>
          <w:sz w:val="28"/>
          <w:szCs w:val="28"/>
          <w:lang w:val="en-US" w:eastAsia="zh-CN"/>
        </w:rPr>
        <w:t>一、专业名称及代码</w:t>
      </w:r>
      <w:bookmarkEnd w:id="0"/>
    </w:p>
    <w:p w14:paraId="3D66B7E8">
      <w:pPr>
        <w:keepNext w:val="0"/>
        <w:keepLines w:val="0"/>
        <w:pageBreakBefore w:val="0"/>
        <w:wordWrap/>
        <w:overflowPunct/>
        <w:topLinePunct w:val="0"/>
        <w:bidi w:val="0"/>
        <w:spacing w:line="560" w:lineRule="exact"/>
        <w:ind w:left="0" w:right="0" w:firstLine="632" w:firstLineChars="200"/>
        <w:rPr>
          <w:rFonts w:hint="eastAsia" w:ascii="仿宋_GB2312" w:hAnsi="仿宋_GB2312" w:eastAsia="仿宋_GB2312" w:cs="仿宋_GB2312"/>
          <w:color w:val="000000" w:themeColor="text1"/>
          <w:spacing w:val="5"/>
          <w:sz w:val="30"/>
          <w:szCs w:val="30"/>
          <w14:textFill>
            <w14:solidFill>
              <w14:schemeClr w14:val="tx1"/>
            </w14:solidFill>
          </w14:textFill>
        </w:rPr>
      </w:pPr>
      <w:r>
        <w:rPr>
          <w:rFonts w:hint="eastAsia" w:ascii="仿宋_GB2312" w:hAnsi="仿宋_GB2312" w:eastAsia="仿宋_GB2312" w:cs="仿宋_GB2312"/>
          <w:color w:val="000000" w:themeColor="text1"/>
          <w:spacing w:val="8"/>
          <w:sz w:val="30"/>
          <w:szCs w:val="30"/>
          <w14:textFill>
            <w14:solidFill>
              <w14:schemeClr w14:val="tx1"/>
            </w14:solidFill>
          </w14:textFill>
        </w:rPr>
        <w:t>专业名称：</w:t>
      </w:r>
      <w:r>
        <w:rPr>
          <w:rFonts w:hint="default" w:ascii="仿宋_GB2312" w:hAnsi="仿宋_GB2312" w:eastAsia="仿宋_GB2312" w:cs="仿宋_GB2312"/>
          <w:color w:val="000000" w:themeColor="text1"/>
          <w:spacing w:val="5"/>
          <w:sz w:val="30"/>
          <w:szCs w:val="30"/>
          <w14:textFill>
            <w14:solidFill>
              <w14:schemeClr w14:val="tx1"/>
            </w14:solidFill>
          </w14:textFill>
        </w:rPr>
        <w:t>中西面点</w:t>
      </w:r>
    </w:p>
    <w:p w14:paraId="49ECEE5F">
      <w:pPr>
        <w:keepNext w:val="0"/>
        <w:keepLines w:val="0"/>
        <w:pageBreakBefore w:val="0"/>
        <w:wordWrap/>
        <w:overflowPunct/>
        <w:topLinePunct w:val="0"/>
        <w:bidi w:val="0"/>
        <w:spacing w:line="560" w:lineRule="exact"/>
        <w:ind w:left="0" w:right="0" w:firstLine="620" w:firstLineChars="200"/>
        <w:rPr>
          <w:rFonts w:hint="eastAsia" w:ascii="仿宋_GB2312" w:hAnsi="仿宋_GB2312" w:eastAsia="仿宋_GB2312" w:cs="仿宋_GB2312"/>
          <w:color w:val="000000" w:themeColor="text1"/>
          <w:spacing w:val="5"/>
          <w:sz w:val="30"/>
          <w:szCs w:val="30"/>
          <w14:textFill>
            <w14:solidFill>
              <w14:schemeClr w14:val="tx1"/>
            </w14:solidFill>
          </w14:textFill>
        </w:rPr>
      </w:pPr>
      <w:r>
        <w:rPr>
          <w:rFonts w:hint="eastAsia" w:ascii="仿宋_GB2312" w:hAnsi="仿宋_GB2312" w:eastAsia="仿宋_GB2312" w:cs="仿宋_GB2312"/>
          <w:color w:val="000000" w:themeColor="text1"/>
          <w:spacing w:val="5"/>
          <w:sz w:val="30"/>
          <w:szCs w:val="30"/>
          <w14:textFill>
            <w14:solidFill>
              <w14:schemeClr w14:val="tx1"/>
            </w14:solidFill>
          </w14:textFill>
        </w:rPr>
        <w:t>专业代码：</w:t>
      </w:r>
      <w:r>
        <w:rPr>
          <w:rFonts w:hint="default" w:ascii="Times New Roman" w:hAnsi="Times New Roman" w:eastAsia="仿宋_GB2312" w:cs="Times New Roman"/>
          <w:snapToGrid w:val="0"/>
          <w:color w:val="000000"/>
          <w:kern w:val="0"/>
          <w:sz w:val="28"/>
          <w:szCs w:val="28"/>
          <w:lang w:val="en-US" w:eastAsia="zh-CN"/>
        </w:rPr>
        <w:t>740203</w:t>
      </w:r>
    </w:p>
    <w:p w14:paraId="5AB5B124">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bookmarkStart w:id="1" w:name="bookmark2"/>
      <w:bookmarkEnd w:id="1"/>
      <w:bookmarkStart w:id="2" w:name="_Toc5201"/>
      <w:r>
        <w:rPr>
          <w:rFonts w:hint="eastAsia" w:ascii="黑体" w:hAnsi="黑体" w:eastAsia="黑体" w:cs="黑体"/>
          <w:snapToGrid w:val="0"/>
          <w:color w:val="000000"/>
          <w:kern w:val="0"/>
          <w:sz w:val="28"/>
          <w:szCs w:val="28"/>
          <w:lang w:val="en-US" w:eastAsia="zh-CN"/>
        </w:rPr>
        <w:t>二、入学要求</w:t>
      </w:r>
      <w:bookmarkEnd w:id="2"/>
    </w:p>
    <w:p w14:paraId="4F28A516">
      <w:pPr>
        <w:keepNext w:val="0"/>
        <w:keepLines w:val="0"/>
        <w:pageBreakBefore w:val="0"/>
        <w:wordWrap/>
        <w:overflowPunct/>
        <w:topLinePunct w:val="0"/>
        <w:bidi w:val="0"/>
        <w:spacing w:line="560" w:lineRule="exact"/>
        <w:ind w:left="0" w:right="0" w:firstLine="636" w:firstLineChars="200"/>
        <w:rPr>
          <w:rFonts w:hint="default"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pacing w:val="9"/>
          <w:sz w:val="30"/>
          <w:szCs w:val="30"/>
          <w14:textFill>
            <w14:solidFill>
              <w14:schemeClr w14:val="tx1"/>
            </w14:solidFill>
          </w14:textFill>
        </w:rPr>
        <w:t>初级中等学校毕业或具备</w:t>
      </w:r>
      <w:r>
        <w:rPr>
          <w:rFonts w:hint="eastAsia" w:ascii="仿宋_GB2312" w:hAnsi="仿宋_GB2312" w:eastAsia="仿宋_GB2312" w:cs="仿宋_GB2312"/>
          <w:color w:val="000000" w:themeColor="text1"/>
          <w:spacing w:val="9"/>
          <w:sz w:val="30"/>
          <w:szCs w:val="30"/>
          <w:lang w:eastAsia="zh-CN"/>
          <w14:textFill>
            <w14:solidFill>
              <w14:schemeClr w14:val="tx1"/>
            </w14:solidFill>
          </w14:textFill>
        </w:rPr>
        <w:t>同等</w:t>
      </w:r>
      <w:r>
        <w:rPr>
          <w:rFonts w:hint="eastAsia" w:ascii="仿宋_GB2312" w:hAnsi="仿宋_GB2312" w:eastAsia="仿宋_GB2312" w:cs="仿宋_GB2312"/>
          <w:color w:val="000000" w:themeColor="text1"/>
          <w:spacing w:val="9"/>
          <w:sz w:val="30"/>
          <w:szCs w:val="30"/>
          <w:lang w:val="en-US" w:eastAsia="zh-CN"/>
          <w14:textFill>
            <w14:solidFill>
              <w14:schemeClr w14:val="tx1"/>
            </w14:solidFill>
          </w14:textFill>
        </w:rPr>
        <w:t>学历</w:t>
      </w:r>
    </w:p>
    <w:p w14:paraId="033BD649">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bookmarkStart w:id="3" w:name="bookmark4"/>
      <w:bookmarkEnd w:id="3"/>
      <w:bookmarkStart w:id="4" w:name="bookmark3"/>
      <w:bookmarkEnd w:id="4"/>
      <w:bookmarkStart w:id="5" w:name="_Toc19070"/>
      <w:r>
        <w:rPr>
          <w:rFonts w:hint="eastAsia" w:ascii="黑体" w:hAnsi="黑体" w:eastAsia="黑体" w:cs="黑体"/>
          <w:snapToGrid w:val="0"/>
          <w:color w:val="000000"/>
          <w:kern w:val="0"/>
          <w:sz w:val="28"/>
          <w:szCs w:val="28"/>
          <w:lang w:val="en-US" w:eastAsia="zh-CN"/>
        </w:rPr>
        <w:t>三、修业年限</w:t>
      </w:r>
      <w:bookmarkEnd w:id="5"/>
    </w:p>
    <w:p w14:paraId="76B46BD1">
      <w:pPr>
        <w:keepNext w:val="0"/>
        <w:keepLines w:val="0"/>
        <w:pageBreakBefore w:val="0"/>
        <w:wordWrap/>
        <w:overflowPunct/>
        <w:topLinePunct w:val="0"/>
        <w:bidi w:val="0"/>
        <w:spacing w:line="560" w:lineRule="exact"/>
        <w:ind w:left="0" w:right="0" w:firstLine="584"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4"/>
          <w:sz w:val="30"/>
          <w:szCs w:val="30"/>
          <w14:textFill>
            <w14:solidFill>
              <w14:schemeClr w14:val="tx1"/>
            </w14:solidFill>
          </w14:textFill>
        </w:rPr>
        <w:t>三年</w:t>
      </w:r>
    </w:p>
    <w:p w14:paraId="1FA1E757">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bookmarkStart w:id="6" w:name="bookmark31"/>
      <w:bookmarkEnd w:id="6"/>
      <w:bookmarkStart w:id="7" w:name="_Toc9494"/>
      <w:r>
        <w:rPr>
          <w:rFonts w:hint="eastAsia" w:ascii="黑体" w:hAnsi="黑体" w:eastAsia="黑体" w:cs="黑体"/>
          <w:snapToGrid w:val="0"/>
          <w:color w:val="000000"/>
          <w:kern w:val="0"/>
          <w:sz w:val="28"/>
          <w:szCs w:val="28"/>
          <w:lang w:val="en-US" w:eastAsia="zh-CN"/>
        </w:rPr>
        <w:t>四、职业面向及主要续接专业</w:t>
      </w:r>
      <w:bookmarkEnd w:id="7"/>
    </w:p>
    <w:p w14:paraId="79AC4ECF">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8" w:name="bookmark5"/>
      <w:bookmarkEnd w:id="8"/>
      <w:bookmarkStart w:id="9" w:name="_Toc6306"/>
      <w:r>
        <w:rPr>
          <w:rFonts w:hint="eastAsia" w:ascii="楷体_GB2312" w:hAnsi="楷体_GB2312" w:eastAsia="楷体_GB2312" w:cs="楷体_GB2312"/>
          <w:snapToGrid w:val="0"/>
          <w:color w:val="000000"/>
          <w:kern w:val="0"/>
          <w:sz w:val="28"/>
          <w:szCs w:val="28"/>
          <w:lang w:val="en-US" w:eastAsia="zh-CN"/>
        </w:rPr>
        <w:t>（一）职业面向</w:t>
      </w:r>
      <w:bookmarkEnd w:id="9"/>
    </w:p>
    <w:tbl>
      <w:tblPr>
        <w:tblStyle w:val="14"/>
        <w:tblW w:w="97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94"/>
        <w:gridCol w:w="1407"/>
        <w:gridCol w:w="1638"/>
        <w:gridCol w:w="2115"/>
        <w:gridCol w:w="1467"/>
        <w:gridCol w:w="2035"/>
      </w:tblGrid>
      <w:tr w14:paraId="52443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0" w:type="auto"/>
            <w:vAlign w:val="center"/>
          </w:tcPr>
          <w:p w14:paraId="59AAD71E">
            <w:pPr>
              <w:pStyle w:val="13"/>
              <w:keepNext w:val="0"/>
              <w:keepLines w:val="0"/>
              <w:pageBreakBefore w:val="0"/>
              <w:wordWrap/>
              <w:overflowPunct/>
              <w:topLinePunct w:val="0"/>
              <w:bidi w:val="0"/>
              <w:spacing w:line="240" w:lineRule="auto"/>
              <w:ind w:left="0" w:right="0" w:hanging="11"/>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25"/>
                <w:sz w:val="24"/>
                <w:szCs w:val="24"/>
                <w14:textFill>
                  <w14:solidFill>
                    <w14:schemeClr w14:val="tx1"/>
                  </w14:solidFill>
                </w14:textFill>
              </w:rPr>
              <w:t>所属专业大</w:t>
            </w:r>
            <w:r>
              <w:rPr>
                <w:rFonts w:hint="eastAsia" w:ascii="仿宋_GB2312" w:hAnsi="仿宋_GB2312" w:eastAsia="仿宋_GB2312" w:cs="仿宋_GB2312"/>
                <w:b/>
                <w:bCs/>
                <w:color w:val="000000" w:themeColor="text1"/>
                <w:spacing w:val="-4"/>
                <w:sz w:val="24"/>
                <w:szCs w:val="24"/>
                <w14:textFill>
                  <w14:solidFill>
                    <w14:schemeClr w14:val="tx1"/>
                  </w14:solidFill>
                </w14:textFill>
              </w:rPr>
              <w:t>类（代码）A</w:t>
            </w:r>
          </w:p>
        </w:tc>
        <w:tc>
          <w:tcPr>
            <w:tcW w:w="0" w:type="auto"/>
            <w:vAlign w:val="center"/>
          </w:tcPr>
          <w:p w14:paraId="28432E2E">
            <w:pPr>
              <w:pStyle w:val="13"/>
              <w:keepNext w:val="0"/>
              <w:keepLines w:val="0"/>
              <w:pageBreakBefore w:val="0"/>
              <w:wordWrap/>
              <w:overflowPunct/>
              <w:topLinePunct w:val="0"/>
              <w:bidi w:val="0"/>
              <w:spacing w:line="240" w:lineRule="auto"/>
              <w:ind w:left="0" w:right="0" w:firstLine="1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4"/>
                <w:sz w:val="24"/>
                <w:szCs w:val="24"/>
                <w14:textFill>
                  <w14:solidFill>
                    <w14:schemeClr w14:val="tx1"/>
                  </w14:solidFill>
                </w14:textFill>
              </w:rPr>
              <w:t>所属专业类</w:t>
            </w:r>
            <w:r>
              <w:rPr>
                <w:rFonts w:hint="eastAsia" w:ascii="仿宋_GB2312" w:hAnsi="仿宋_GB2312" w:eastAsia="仿宋_GB2312" w:cs="仿宋_GB2312"/>
                <w:b/>
                <w:bCs/>
                <w:color w:val="000000" w:themeColor="text1"/>
                <w:sz w:val="24"/>
                <w:szCs w:val="24"/>
                <w14:textFill>
                  <w14:solidFill>
                    <w14:schemeClr w14:val="tx1"/>
                  </w14:solidFill>
                </w14:textFill>
              </w:rPr>
              <w:t>（代码）B</w:t>
            </w:r>
          </w:p>
        </w:tc>
        <w:tc>
          <w:tcPr>
            <w:tcW w:w="0" w:type="auto"/>
            <w:vAlign w:val="center"/>
          </w:tcPr>
          <w:p w14:paraId="0B7BFE3A">
            <w:pPr>
              <w:pStyle w:val="13"/>
              <w:keepNext w:val="0"/>
              <w:keepLines w:val="0"/>
              <w:pageBreakBefore w:val="0"/>
              <w:wordWrap/>
              <w:overflowPunct/>
              <w:topLinePunct w:val="0"/>
              <w:bidi w:val="0"/>
              <w:spacing w:line="240" w:lineRule="auto"/>
              <w:ind w:left="0" w:right="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对应行业</w:t>
            </w:r>
            <w:r>
              <w:rPr>
                <w:rFonts w:hint="eastAsia" w:ascii="仿宋_GB2312" w:hAnsi="仿宋_GB2312" w:eastAsia="仿宋_GB2312" w:cs="仿宋_GB2312"/>
                <w:b/>
                <w:bCs/>
                <w:color w:val="000000" w:themeColor="text1"/>
                <w:spacing w:val="-2"/>
                <w:sz w:val="24"/>
                <w:szCs w:val="24"/>
                <w14:textFill>
                  <w14:solidFill>
                    <w14:schemeClr w14:val="tx1"/>
                  </w14:solidFill>
                </w14:textFill>
              </w:rPr>
              <w:t>（代码）</w:t>
            </w:r>
            <w:r>
              <w:rPr>
                <w:rFonts w:hint="eastAsia" w:ascii="仿宋_GB2312" w:hAnsi="仿宋_GB2312" w:eastAsia="仿宋_GB2312" w:cs="仿宋_GB2312"/>
                <w:b/>
                <w:bCs/>
                <w:color w:val="000000" w:themeColor="text1"/>
                <w:spacing w:val="-3"/>
                <w:sz w:val="24"/>
                <w:szCs w:val="24"/>
                <w14:textFill>
                  <w14:solidFill>
                    <w14:schemeClr w14:val="tx1"/>
                  </w14:solidFill>
                </w14:textFill>
              </w:rPr>
              <w:t>C</w:t>
            </w:r>
          </w:p>
        </w:tc>
        <w:tc>
          <w:tcPr>
            <w:tcW w:w="0" w:type="auto"/>
            <w:vAlign w:val="center"/>
          </w:tcPr>
          <w:p w14:paraId="07FB9111">
            <w:pPr>
              <w:pStyle w:val="13"/>
              <w:keepNext w:val="0"/>
              <w:keepLines w:val="0"/>
              <w:pageBreakBefore w:val="0"/>
              <w:wordWrap/>
              <w:overflowPunct/>
              <w:topLinePunct w:val="0"/>
              <w:bidi w:val="0"/>
              <w:spacing w:line="240" w:lineRule="auto"/>
              <w:ind w:left="0" w:right="0" w:firstLine="19"/>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5"/>
                <w:sz w:val="24"/>
                <w:szCs w:val="24"/>
                <w14:textFill>
                  <w14:solidFill>
                    <w14:schemeClr w14:val="tx1"/>
                  </w14:solidFill>
                </w14:textFill>
              </w:rPr>
              <w:t>主要职业类别</w:t>
            </w:r>
            <w:r>
              <w:rPr>
                <w:rFonts w:hint="eastAsia" w:ascii="仿宋_GB2312" w:hAnsi="仿宋_GB2312" w:eastAsia="仿宋_GB2312" w:cs="仿宋_GB2312"/>
                <w:b/>
                <w:bCs/>
                <w:color w:val="000000" w:themeColor="text1"/>
                <w:sz w:val="24"/>
                <w:szCs w:val="24"/>
                <w14:textFill>
                  <w14:solidFill>
                    <w14:schemeClr w14:val="tx1"/>
                  </w14:solidFill>
                </w14:textFill>
              </w:rPr>
              <w:t>（代码）D</w:t>
            </w:r>
          </w:p>
        </w:tc>
        <w:tc>
          <w:tcPr>
            <w:tcW w:w="1467" w:type="dxa"/>
            <w:vAlign w:val="center"/>
          </w:tcPr>
          <w:p w14:paraId="14FD4B1D">
            <w:pPr>
              <w:pStyle w:val="13"/>
              <w:keepNext w:val="0"/>
              <w:keepLines w:val="0"/>
              <w:pageBreakBefore w:val="0"/>
              <w:wordWrap/>
              <w:overflowPunct/>
              <w:topLinePunct w:val="0"/>
              <w:bidi w:val="0"/>
              <w:spacing w:line="240" w:lineRule="auto"/>
              <w:ind w:left="0" w:right="0" w:firstLine="11"/>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11"/>
                <w:sz w:val="24"/>
                <w:szCs w:val="24"/>
                <w14:textFill>
                  <w14:solidFill>
                    <w14:schemeClr w14:val="tx1"/>
                  </w14:solidFill>
                </w14:textFill>
              </w:rPr>
              <w:t>主要岗位类</w:t>
            </w:r>
            <w:r>
              <w:rPr>
                <w:rFonts w:hint="eastAsia" w:ascii="仿宋_GB2312" w:hAnsi="仿宋_GB2312" w:eastAsia="仿宋_GB2312" w:cs="仿宋_GB2312"/>
                <w:b/>
                <w:bCs/>
                <w:color w:val="000000" w:themeColor="text1"/>
                <w:spacing w:val="-20"/>
                <w:sz w:val="24"/>
                <w:szCs w:val="24"/>
                <w14:textFill>
                  <w14:solidFill>
                    <w14:schemeClr w14:val="tx1"/>
                  </w14:solidFill>
                </w14:textFill>
              </w:rPr>
              <w:t>别（或技术领</w:t>
            </w:r>
            <w:r>
              <w:rPr>
                <w:rFonts w:hint="eastAsia" w:ascii="仿宋_GB2312" w:hAnsi="仿宋_GB2312" w:eastAsia="仿宋_GB2312" w:cs="仿宋_GB2312"/>
                <w:b/>
                <w:bCs/>
                <w:color w:val="000000" w:themeColor="text1"/>
                <w:spacing w:val="-2"/>
                <w:sz w:val="24"/>
                <w:szCs w:val="24"/>
                <w14:textFill>
                  <w14:solidFill>
                    <w14:schemeClr w14:val="tx1"/>
                  </w14:solidFill>
                </w14:textFill>
              </w:rPr>
              <w:t>域）E</w:t>
            </w:r>
          </w:p>
        </w:tc>
        <w:tc>
          <w:tcPr>
            <w:tcW w:w="2035" w:type="dxa"/>
            <w:vAlign w:val="center"/>
          </w:tcPr>
          <w:p w14:paraId="5F9FA964">
            <w:pPr>
              <w:pStyle w:val="13"/>
              <w:keepNext w:val="0"/>
              <w:keepLines w:val="0"/>
              <w:pageBreakBefore w:val="0"/>
              <w:wordWrap/>
              <w:overflowPunct/>
              <w:topLinePunct w:val="0"/>
              <w:bidi w:val="0"/>
              <w:spacing w:line="240" w:lineRule="auto"/>
              <w:ind w:left="0" w:right="0" w:firstLine="1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26"/>
                <w:sz w:val="24"/>
                <w:szCs w:val="24"/>
                <w14:textFill>
                  <w14:solidFill>
                    <w14:schemeClr w14:val="tx1"/>
                  </w14:solidFill>
                </w14:textFill>
              </w:rPr>
              <w:t>职业资格证书</w:t>
            </w:r>
            <w:r>
              <w:rPr>
                <w:rFonts w:hint="eastAsia" w:ascii="仿宋_GB2312" w:hAnsi="仿宋_GB2312" w:eastAsia="仿宋_GB2312" w:cs="仿宋_GB2312"/>
                <w:b/>
                <w:bCs/>
                <w:color w:val="000000" w:themeColor="text1"/>
                <w:spacing w:val="27"/>
                <w:sz w:val="24"/>
                <w:szCs w:val="24"/>
                <w14:textFill>
                  <w14:solidFill>
                    <w14:schemeClr w14:val="tx1"/>
                  </w14:solidFill>
                </w14:textFill>
              </w:rPr>
              <w:t>或技能等级证</w:t>
            </w:r>
            <w:r>
              <w:rPr>
                <w:rFonts w:hint="eastAsia" w:ascii="仿宋_GB2312" w:hAnsi="仿宋_GB2312" w:eastAsia="仿宋_GB2312" w:cs="仿宋_GB2312"/>
                <w:b/>
                <w:bCs/>
                <w:color w:val="000000" w:themeColor="text1"/>
                <w:spacing w:val="-8"/>
                <w:sz w:val="24"/>
                <w:szCs w:val="24"/>
                <w14:textFill>
                  <w14:solidFill>
                    <w14:schemeClr w14:val="tx1"/>
                  </w14:solidFill>
                </w14:textFill>
              </w:rPr>
              <w:t>书F</w:t>
            </w:r>
          </w:p>
        </w:tc>
      </w:tr>
      <w:tr w14:paraId="3FE32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5" w:hRule="atLeast"/>
          <w:jc w:val="center"/>
        </w:trPr>
        <w:tc>
          <w:tcPr>
            <w:tcW w:w="1094" w:type="dxa"/>
            <w:vAlign w:val="center"/>
          </w:tcPr>
          <w:p w14:paraId="0446F166">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pacing w:val="-2"/>
                <w:sz w:val="24"/>
                <w:szCs w:val="24"/>
                <w14:textFill>
                  <w14:solidFill>
                    <w14:schemeClr w14:val="tx1"/>
                  </w14:solidFill>
                </w14:textFill>
              </w:rPr>
              <w:t>旅游专业大</w:t>
            </w:r>
            <w:r>
              <w:rPr>
                <w:rFonts w:hint="default" w:ascii="Times New Roman" w:hAnsi="Times New Roman" w:eastAsia="仿宋" w:cs="Times New Roman"/>
                <w:color w:val="000000" w:themeColor="text1"/>
                <w:spacing w:val="-5"/>
                <w:sz w:val="24"/>
                <w:szCs w:val="24"/>
                <w14:textFill>
                  <w14:solidFill>
                    <w14:schemeClr w14:val="tx1"/>
                  </w14:solidFill>
                </w14:textFill>
              </w:rPr>
              <w:t>类（</w:t>
            </w:r>
            <w:r>
              <w:rPr>
                <w:rFonts w:hint="default" w:ascii="Times New Roman" w:hAnsi="Times New Roman" w:eastAsia="仿宋_GB2312" w:cs="Times New Roman"/>
                <w:snapToGrid w:val="0"/>
                <w:color w:val="000000"/>
                <w:kern w:val="0"/>
                <w:sz w:val="28"/>
                <w:szCs w:val="28"/>
                <w:lang w:val="en-US" w:eastAsia="zh-CN" w:bidi="ar-SA"/>
              </w:rPr>
              <w:t>74</w:t>
            </w:r>
            <w:r>
              <w:rPr>
                <w:rFonts w:hint="default" w:ascii="Times New Roman" w:hAnsi="Times New Roman" w:eastAsia="仿宋" w:cs="Times New Roman"/>
                <w:color w:val="000000" w:themeColor="text1"/>
                <w:spacing w:val="-5"/>
                <w:sz w:val="24"/>
                <w:szCs w:val="24"/>
                <w14:textFill>
                  <w14:solidFill>
                    <w14:schemeClr w14:val="tx1"/>
                  </w14:solidFill>
                </w14:textFill>
              </w:rPr>
              <w:t>）</w:t>
            </w:r>
          </w:p>
        </w:tc>
        <w:tc>
          <w:tcPr>
            <w:tcW w:w="1407" w:type="dxa"/>
            <w:vAlign w:val="center"/>
          </w:tcPr>
          <w:p w14:paraId="32090421">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pacing w:val="-8"/>
                <w:sz w:val="24"/>
                <w:szCs w:val="24"/>
                <w14:textFill>
                  <w14:solidFill>
                    <w14:schemeClr w14:val="tx1"/>
                  </w14:solidFill>
                </w14:textFill>
              </w:rPr>
              <w:t>中西面点</w:t>
            </w:r>
          </w:p>
          <w:p w14:paraId="3276C9A4">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_GB2312" w:cs="Times New Roman"/>
                <w:snapToGrid w:val="0"/>
                <w:color w:val="000000"/>
                <w:kern w:val="0"/>
                <w:sz w:val="28"/>
                <w:szCs w:val="28"/>
                <w:lang w:val="en-US" w:eastAsia="zh-CN" w:bidi="ar-SA"/>
              </w:rPr>
              <w:t>740203</w:t>
            </w:r>
            <w:r>
              <w:rPr>
                <w:rFonts w:hint="default" w:ascii="Times New Roman" w:hAnsi="Times New Roman" w:eastAsia="仿宋" w:cs="Times New Roman"/>
                <w:color w:val="000000" w:themeColor="text1"/>
                <w:sz w:val="24"/>
                <w:szCs w:val="24"/>
                <w14:textFill>
                  <w14:solidFill>
                    <w14:schemeClr w14:val="tx1"/>
                  </w14:solidFill>
                </w14:textFill>
              </w:rPr>
              <w:t>）</w:t>
            </w:r>
          </w:p>
        </w:tc>
        <w:tc>
          <w:tcPr>
            <w:tcW w:w="1638" w:type="dxa"/>
            <w:vAlign w:val="center"/>
          </w:tcPr>
          <w:p w14:paraId="5A70B7C2">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仿宋" w:cs="Times New Roman"/>
                <w:color w:val="000000" w:themeColor="text1"/>
                <w:spacing w:val="-3"/>
                <w:sz w:val="24"/>
                <w:szCs w:val="24"/>
                <w14:textFill>
                  <w14:solidFill>
                    <w14:schemeClr w14:val="tx1"/>
                  </w14:solidFill>
                </w14:textFill>
              </w:rPr>
            </w:pPr>
            <w:r>
              <w:rPr>
                <w:rFonts w:hint="default" w:ascii="Times New Roman" w:hAnsi="Times New Roman" w:eastAsia="仿宋" w:cs="Times New Roman"/>
                <w:color w:val="000000" w:themeColor="text1"/>
                <w:spacing w:val="-3"/>
                <w:sz w:val="24"/>
                <w:szCs w:val="24"/>
                <w14:textFill>
                  <w14:solidFill>
                    <w14:schemeClr w14:val="tx1"/>
                  </w14:solidFill>
                </w14:textFill>
              </w:rPr>
              <w:t>餐饮业</w:t>
            </w:r>
          </w:p>
          <w:p w14:paraId="5932DF87">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z w:val="24"/>
                <w:szCs w:val="24"/>
                <w14:textFill>
                  <w14:solidFill>
                    <w14:schemeClr w14:val="tx1"/>
                  </w14:solidFill>
                </w14:textFill>
              </w:rPr>
              <w:t>（</w:t>
            </w:r>
            <w:r>
              <w:rPr>
                <w:rFonts w:hint="default" w:ascii="Times New Roman" w:hAnsi="Times New Roman" w:eastAsia="仿宋_GB2312" w:cs="Times New Roman"/>
                <w:snapToGrid w:val="0"/>
                <w:color w:val="000000"/>
                <w:kern w:val="0"/>
                <w:sz w:val="28"/>
                <w:szCs w:val="28"/>
                <w:lang w:val="en-US" w:eastAsia="zh-CN" w:bidi="ar-SA"/>
              </w:rPr>
              <w:t>62</w:t>
            </w:r>
            <w:r>
              <w:rPr>
                <w:rFonts w:hint="default" w:ascii="Times New Roman" w:hAnsi="Times New Roman" w:eastAsia="仿宋" w:cs="Times New Roman"/>
                <w:color w:val="000000" w:themeColor="text1"/>
                <w:sz w:val="24"/>
                <w:szCs w:val="24"/>
                <w14:textFill>
                  <w14:solidFill>
                    <w14:schemeClr w14:val="tx1"/>
                  </w14:solidFill>
                </w14:textFill>
              </w:rPr>
              <w:t>）</w:t>
            </w:r>
          </w:p>
        </w:tc>
        <w:tc>
          <w:tcPr>
            <w:tcW w:w="2115" w:type="dxa"/>
            <w:vAlign w:val="center"/>
          </w:tcPr>
          <w:p w14:paraId="64B66B84">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仿宋" w:cs="Times New Roman"/>
                <w:color w:val="000000" w:themeColor="text1"/>
                <w:spacing w:val="-13"/>
                <w:sz w:val="24"/>
                <w:szCs w:val="24"/>
                <w14:textFill>
                  <w14:solidFill>
                    <w14:schemeClr w14:val="tx1"/>
                  </w14:solidFill>
                </w14:textFill>
              </w:rPr>
            </w:pPr>
            <w:r>
              <w:rPr>
                <w:rFonts w:hint="default" w:ascii="Times New Roman" w:hAnsi="Times New Roman" w:eastAsia="仿宋" w:cs="Times New Roman"/>
                <w:color w:val="000000" w:themeColor="text1"/>
                <w:spacing w:val="-13"/>
                <w:sz w:val="24"/>
                <w:szCs w:val="24"/>
                <w14:textFill>
                  <w14:solidFill>
                    <w14:schemeClr w14:val="tx1"/>
                  </w14:solidFill>
                </w14:textFill>
              </w:rPr>
              <w:t>中式面点师</w:t>
            </w:r>
          </w:p>
          <w:p w14:paraId="6C4A3EA6">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仿宋" w:cs="Times New Roman"/>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pacing w:val="-13"/>
                <w:sz w:val="24"/>
                <w:szCs w:val="24"/>
                <w14:textFill>
                  <w14:solidFill>
                    <w14:schemeClr w14:val="tx1"/>
                  </w14:solidFill>
                </w14:textFill>
              </w:rPr>
              <w:t>（</w:t>
            </w:r>
            <w:r>
              <w:rPr>
                <w:rFonts w:hint="default" w:ascii="Times New Roman" w:hAnsi="Times New Roman" w:eastAsia="仿宋_GB2312" w:cs="Times New Roman"/>
                <w:snapToGrid w:val="0"/>
                <w:color w:val="000000"/>
                <w:kern w:val="0"/>
                <w:sz w:val="28"/>
                <w:szCs w:val="28"/>
                <w:lang w:val="en-US" w:eastAsia="zh-CN" w:bidi="ar-SA"/>
              </w:rPr>
              <w:t>4-03-02-02</w:t>
            </w:r>
            <w:r>
              <w:rPr>
                <w:rFonts w:hint="default" w:ascii="Times New Roman" w:hAnsi="Times New Roman" w:eastAsia="仿宋" w:cs="Times New Roman"/>
                <w:color w:val="000000" w:themeColor="text1"/>
                <w:spacing w:val="-3"/>
                <w:sz w:val="24"/>
                <w:szCs w:val="24"/>
                <w14:textFill>
                  <w14:solidFill>
                    <w14:schemeClr w14:val="tx1"/>
                  </w14:solidFill>
                </w14:textFill>
              </w:rPr>
              <w:t>）</w:t>
            </w:r>
          </w:p>
          <w:p w14:paraId="169D0D6C">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仿宋" w:cs="Times New Roman"/>
                <w:color w:val="000000" w:themeColor="text1"/>
                <w:spacing w:val="-11"/>
                <w:sz w:val="24"/>
                <w:szCs w:val="24"/>
                <w14:textFill>
                  <w14:solidFill>
                    <w14:schemeClr w14:val="tx1"/>
                  </w14:solidFill>
                </w14:textFill>
              </w:rPr>
            </w:pPr>
            <w:r>
              <w:rPr>
                <w:rFonts w:hint="default" w:ascii="Times New Roman" w:hAnsi="Times New Roman" w:eastAsia="仿宋" w:cs="Times New Roman"/>
                <w:color w:val="000000" w:themeColor="text1"/>
                <w:spacing w:val="-11"/>
                <w:sz w:val="24"/>
                <w:szCs w:val="24"/>
                <w14:textFill>
                  <w14:solidFill>
                    <w14:schemeClr w14:val="tx1"/>
                  </w14:solidFill>
                </w14:textFill>
              </w:rPr>
              <w:t>西式面点师</w:t>
            </w:r>
          </w:p>
          <w:p w14:paraId="46506B9D">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pacing w:val="-11"/>
                <w:sz w:val="24"/>
                <w:szCs w:val="24"/>
                <w14:textFill>
                  <w14:solidFill>
                    <w14:schemeClr w14:val="tx1"/>
                  </w14:solidFill>
                </w14:textFill>
              </w:rPr>
              <w:t>（</w:t>
            </w:r>
            <w:r>
              <w:rPr>
                <w:rFonts w:hint="default" w:ascii="Times New Roman" w:hAnsi="Times New Roman" w:eastAsia="仿宋_GB2312" w:cs="Times New Roman"/>
                <w:snapToGrid w:val="0"/>
                <w:color w:val="000000"/>
                <w:kern w:val="0"/>
                <w:sz w:val="28"/>
                <w:szCs w:val="28"/>
                <w:lang w:val="en-US" w:eastAsia="zh-CN" w:bidi="ar-SA"/>
              </w:rPr>
              <w:t>4-03-02-04</w:t>
            </w:r>
            <w:r>
              <w:rPr>
                <w:rFonts w:hint="default" w:ascii="Times New Roman" w:hAnsi="Times New Roman" w:eastAsia="仿宋" w:cs="Times New Roman"/>
                <w:color w:val="000000" w:themeColor="text1"/>
                <w:spacing w:val="-3"/>
                <w:sz w:val="24"/>
                <w:szCs w:val="24"/>
                <w14:textFill>
                  <w14:solidFill>
                    <w14:schemeClr w14:val="tx1"/>
                  </w14:solidFill>
                </w14:textFill>
              </w:rPr>
              <w:t>）</w:t>
            </w:r>
          </w:p>
        </w:tc>
        <w:tc>
          <w:tcPr>
            <w:tcW w:w="1467" w:type="dxa"/>
            <w:vAlign w:val="center"/>
          </w:tcPr>
          <w:p w14:paraId="2A50B75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eastAsia="仿宋" w:cs="Times New Roman"/>
                <w:color w:val="000000" w:themeColor="text1"/>
                <w:sz w:val="24"/>
                <w:szCs w:val="24"/>
                <w14:textFill>
                  <w14:solidFill>
                    <w14:schemeClr w14:val="tx1"/>
                  </w14:solidFill>
                </w14:textFill>
              </w:rPr>
            </w:pPr>
          </w:p>
          <w:p w14:paraId="47B9A776">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 w:cs="Times New Roman"/>
                <w:color w:val="000000" w:themeColor="text1"/>
                <w:spacing w:val="-7"/>
                <w:sz w:val="24"/>
                <w:szCs w:val="24"/>
                <w14:textFill>
                  <w14:solidFill>
                    <w14:schemeClr w14:val="tx1"/>
                  </w14:solidFill>
                </w14:textFill>
              </w:rPr>
            </w:pPr>
            <w:r>
              <w:rPr>
                <w:rFonts w:hint="default" w:ascii="Times New Roman" w:hAnsi="Times New Roman" w:eastAsia="仿宋" w:cs="Times New Roman"/>
                <w:color w:val="000000" w:themeColor="text1"/>
                <w:spacing w:val="-7"/>
                <w:sz w:val="24"/>
                <w:szCs w:val="24"/>
                <w14:textFill>
                  <w14:solidFill>
                    <w14:schemeClr w14:val="tx1"/>
                  </w14:solidFill>
                </w14:textFill>
              </w:rPr>
              <w:t>中式面点制作</w:t>
            </w:r>
          </w:p>
          <w:p w14:paraId="4085FD10">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color w:val="000000" w:themeColor="text1"/>
                <w:spacing w:val="-4"/>
                <w:sz w:val="24"/>
                <w:szCs w:val="24"/>
                <w14:textFill>
                  <w14:solidFill>
                    <w14:schemeClr w14:val="tx1"/>
                  </w14:solidFill>
                </w14:textFill>
              </w:rPr>
              <w:t>西式面点制作</w:t>
            </w:r>
          </w:p>
        </w:tc>
        <w:tc>
          <w:tcPr>
            <w:tcW w:w="2035" w:type="dxa"/>
            <w:vAlign w:val="center"/>
          </w:tcPr>
          <w:p w14:paraId="4A611476">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Times New Roman" w:hAnsi="Times New Roman" w:eastAsia="仿宋" w:cs="Times New Roman"/>
                <w:color w:val="000000" w:themeColor="text1"/>
                <w:sz w:val="24"/>
                <w:szCs w:val="24"/>
                <w:lang w:eastAsia="zh-CN"/>
                <w14:textFill>
                  <w14:solidFill>
                    <w14:schemeClr w14:val="tx1"/>
                  </w14:solidFill>
                </w14:textFill>
              </w:rPr>
            </w:pPr>
            <w:r>
              <w:rPr>
                <w:rFonts w:hint="default" w:ascii="Times New Roman" w:hAnsi="Times New Roman" w:eastAsia="仿宋" w:cs="Times New Roman"/>
                <w:color w:val="000000" w:themeColor="text1"/>
                <w:spacing w:val="-4"/>
                <w:sz w:val="24"/>
                <w:szCs w:val="24"/>
                <w14:textFill>
                  <w14:solidFill>
                    <w14:schemeClr w14:val="tx1"/>
                  </w14:solidFill>
                </w14:textFill>
              </w:rPr>
              <w:t>中式面点</w:t>
            </w:r>
            <w:r>
              <w:rPr>
                <w:rFonts w:hint="eastAsia" w:ascii="Times New Roman" w:hAnsi="Times New Roman" w:eastAsia="仿宋" w:cs="Times New Roman"/>
                <w:color w:val="000000" w:themeColor="text1"/>
                <w:spacing w:val="-4"/>
                <w:sz w:val="24"/>
                <w:szCs w:val="24"/>
                <w:lang w:eastAsia="zh-CN"/>
                <w14:textFill>
                  <w14:solidFill>
                    <w14:schemeClr w14:val="tx1"/>
                  </w14:solidFill>
                </w14:textFill>
              </w:rPr>
              <w:t>师</w:t>
            </w:r>
            <w:r>
              <w:rPr>
                <w:rFonts w:hint="eastAsia" w:ascii="Times New Roman" w:hAnsi="Times New Roman" w:eastAsia="仿宋" w:cs="Times New Roman"/>
                <w:color w:val="000000" w:themeColor="text1"/>
                <w:spacing w:val="-5"/>
                <w:sz w:val="24"/>
                <w:szCs w:val="24"/>
                <w:lang w:eastAsia="zh-CN"/>
                <w14:textFill>
                  <w14:solidFill>
                    <w14:schemeClr w14:val="tx1"/>
                  </w14:solidFill>
                </w14:textFill>
              </w:rPr>
              <w:t>（</w:t>
            </w:r>
            <w:r>
              <w:rPr>
                <w:rFonts w:hint="eastAsia" w:ascii="Times New Roman" w:hAnsi="Times New Roman" w:eastAsia="仿宋" w:cs="Times New Roman"/>
                <w:color w:val="000000" w:themeColor="text1"/>
                <w:spacing w:val="-5"/>
                <w:sz w:val="24"/>
                <w:szCs w:val="24"/>
                <w:lang w:val="en-US" w:eastAsia="zh-CN"/>
                <w14:textFill>
                  <w14:solidFill>
                    <w14:schemeClr w14:val="tx1"/>
                  </w14:solidFill>
                </w14:textFill>
              </w:rPr>
              <w:t>四级</w:t>
            </w:r>
            <w:r>
              <w:rPr>
                <w:rFonts w:hint="eastAsia" w:ascii="Times New Roman" w:hAnsi="Times New Roman" w:eastAsia="仿宋" w:cs="Times New Roman"/>
                <w:color w:val="000000" w:themeColor="text1"/>
                <w:spacing w:val="-5"/>
                <w:sz w:val="24"/>
                <w:szCs w:val="24"/>
                <w:lang w:eastAsia="zh-CN"/>
                <w14:textFill>
                  <w14:solidFill>
                    <w14:schemeClr w14:val="tx1"/>
                  </w14:solidFill>
                </w14:textFill>
              </w:rPr>
              <w:t>）</w:t>
            </w:r>
          </w:p>
          <w:p w14:paraId="644BF3A1">
            <w:pPr>
              <w:pStyle w:val="13"/>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firstLineChars="0"/>
              <w:jc w:val="center"/>
              <w:textAlignment w:val="baseline"/>
              <w:rPr>
                <w:rFonts w:hint="eastAsia" w:ascii="仿宋_GB2312" w:hAnsi="仿宋_GB2312" w:eastAsia="仿宋_GB2312" w:cs="仿宋_GB2312"/>
                <w:color w:val="000000" w:themeColor="text1"/>
                <w:sz w:val="24"/>
                <w:szCs w:val="24"/>
                <w14:textFill>
                  <w14:solidFill>
                    <w14:schemeClr w14:val="tx1"/>
                  </w14:solidFill>
                </w14:textFill>
              </w:rPr>
            </w:pPr>
            <w:r>
              <w:rPr>
                <w:rFonts w:hint="default" w:ascii="Times New Roman" w:hAnsi="Times New Roman" w:eastAsia="仿宋" w:cs="Times New Roman"/>
                <w:color w:val="000000" w:themeColor="text1"/>
                <w:spacing w:val="-1"/>
                <w:sz w:val="24"/>
                <w:szCs w:val="24"/>
                <w14:textFill>
                  <w14:solidFill>
                    <w14:schemeClr w14:val="tx1"/>
                  </w14:solidFill>
                </w14:textFill>
              </w:rPr>
              <w:t>西式面点</w:t>
            </w:r>
            <w:r>
              <w:rPr>
                <w:rFonts w:hint="eastAsia" w:ascii="Times New Roman" w:hAnsi="Times New Roman" w:eastAsia="仿宋" w:cs="Times New Roman"/>
                <w:color w:val="000000" w:themeColor="text1"/>
                <w:spacing w:val="-1"/>
                <w:sz w:val="24"/>
                <w:szCs w:val="24"/>
                <w:lang w:eastAsia="zh-CN"/>
                <w14:textFill>
                  <w14:solidFill>
                    <w14:schemeClr w14:val="tx1"/>
                  </w14:solidFill>
                </w14:textFill>
              </w:rPr>
              <w:t>师</w:t>
            </w:r>
            <w:r>
              <w:rPr>
                <w:rFonts w:hint="eastAsia" w:ascii="Times New Roman" w:hAnsi="Times New Roman" w:eastAsia="仿宋" w:cs="Times New Roman"/>
                <w:color w:val="000000" w:themeColor="text1"/>
                <w:spacing w:val="-5"/>
                <w:sz w:val="24"/>
                <w:szCs w:val="24"/>
                <w:lang w:eastAsia="zh-CN"/>
                <w14:textFill>
                  <w14:solidFill>
                    <w14:schemeClr w14:val="tx1"/>
                  </w14:solidFill>
                </w14:textFill>
              </w:rPr>
              <w:t>（</w:t>
            </w:r>
            <w:r>
              <w:rPr>
                <w:rFonts w:hint="eastAsia" w:ascii="Times New Roman" w:hAnsi="Times New Roman" w:eastAsia="仿宋" w:cs="Times New Roman"/>
                <w:color w:val="000000" w:themeColor="text1"/>
                <w:spacing w:val="-5"/>
                <w:sz w:val="24"/>
                <w:szCs w:val="24"/>
                <w:lang w:val="en-US" w:eastAsia="zh-CN"/>
                <w14:textFill>
                  <w14:solidFill>
                    <w14:schemeClr w14:val="tx1"/>
                  </w14:solidFill>
                </w14:textFill>
              </w:rPr>
              <w:t>四级</w:t>
            </w:r>
            <w:r>
              <w:rPr>
                <w:rFonts w:hint="eastAsia" w:ascii="Times New Roman" w:hAnsi="Times New Roman" w:eastAsia="仿宋" w:cs="Times New Roman"/>
                <w:color w:val="000000" w:themeColor="text1"/>
                <w:spacing w:val="-5"/>
                <w:sz w:val="24"/>
                <w:szCs w:val="24"/>
                <w:lang w:eastAsia="zh-CN"/>
                <w14:textFill>
                  <w14:solidFill>
                    <w14:schemeClr w14:val="tx1"/>
                  </w14:solidFill>
                </w14:textFill>
              </w:rPr>
              <w:t>）</w:t>
            </w:r>
          </w:p>
        </w:tc>
      </w:tr>
    </w:tbl>
    <w:p w14:paraId="17F8E164">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10" w:name="_Toc1013"/>
      <w:r>
        <w:rPr>
          <w:rFonts w:hint="eastAsia" w:ascii="楷体_GB2312" w:hAnsi="楷体_GB2312" w:eastAsia="楷体_GB2312" w:cs="楷体_GB2312"/>
          <w:snapToGrid w:val="0"/>
          <w:color w:val="000000"/>
          <w:kern w:val="0"/>
          <w:sz w:val="28"/>
          <w:szCs w:val="28"/>
          <w:lang w:val="en-US" w:eastAsia="zh-CN"/>
        </w:rPr>
        <w:t>（二）主要接续专业</w:t>
      </w:r>
      <w:bookmarkEnd w:id="10"/>
    </w:p>
    <w:p w14:paraId="27AF3266">
      <w:pPr>
        <w:keepNext w:val="0"/>
        <w:keepLines w:val="0"/>
        <w:pageBreakBefore w:val="0"/>
        <w:wordWrap/>
        <w:overflowPunct/>
        <w:topLinePunct w:val="0"/>
        <w:bidi w:val="0"/>
        <w:spacing w:line="560" w:lineRule="exact"/>
        <w:ind w:left="0" w:right="0" w:firstLine="602" w:firstLineChars="200"/>
        <w:jc w:val="left"/>
        <w:rPr>
          <w:rFonts w:hint="default"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b/>
          <w:bCs/>
          <w:color w:val="000000" w:themeColor="text1"/>
          <w:sz w:val="30"/>
          <w:szCs w:val="30"/>
          <w:lang w:val="en-US" w:eastAsia="zh-CN"/>
          <w14:textFill>
            <w14:solidFill>
              <w14:schemeClr w14:val="tx1"/>
            </w14:solidFill>
          </w14:textFill>
        </w:rPr>
        <w:t>接续</w:t>
      </w:r>
      <w:r>
        <w:rPr>
          <w:rFonts w:hint="eastAsia" w:ascii="仿宋_GB2312" w:hAnsi="仿宋_GB2312" w:eastAsia="仿宋_GB2312" w:cs="仿宋_GB2312"/>
          <w:b/>
          <w:bCs/>
          <w:color w:val="000000" w:themeColor="text1"/>
          <w:sz w:val="30"/>
          <w:szCs w:val="30"/>
          <w14:textFill>
            <w14:solidFill>
              <w14:schemeClr w14:val="tx1"/>
            </w14:solidFill>
          </w14:textFill>
        </w:rPr>
        <w:t>高职</w:t>
      </w:r>
      <w:r>
        <w:rPr>
          <w:rFonts w:hint="eastAsia" w:ascii="仿宋_GB2312" w:hAnsi="仿宋_GB2312" w:eastAsia="仿宋_GB2312" w:cs="仿宋_GB2312"/>
          <w:b/>
          <w:bCs/>
          <w:color w:val="000000" w:themeColor="text1"/>
          <w:sz w:val="30"/>
          <w:szCs w:val="30"/>
          <w:lang w:val="en-US" w:eastAsia="zh-CN"/>
          <w14:textFill>
            <w14:solidFill>
              <w14:schemeClr w14:val="tx1"/>
            </w14:solidFill>
          </w14:textFill>
        </w:rPr>
        <w:t>专科</w:t>
      </w:r>
      <w:r>
        <w:rPr>
          <w:rFonts w:hint="eastAsia" w:ascii="仿宋_GB2312" w:hAnsi="仿宋_GB2312" w:eastAsia="仿宋_GB2312" w:cs="仿宋_GB2312"/>
          <w:b/>
          <w:bCs/>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中西面点工艺</w:t>
      </w:r>
      <w:r>
        <w:rPr>
          <w:rFonts w:hint="eastAsia" w:ascii="仿宋_GB2312" w:hAnsi="仿宋_GB2312" w:eastAsia="仿宋_GB2312" w:cs="仿宋_GB2312"/>
          <w:color w:val="000000" w:themeColor="text1"/>
          <w:sz w:val="30"/>
          <w:szCs w:val="30"/>
          <w14:textFill>
            <w14:solidFill>
              <w14:schemeClr w14:val="tx1"/>
            </w14:solidFill>
          </w14:textFill>
        </w:rPr>
        <w:t>、</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西式烹饪工艺</w:t>
      </w:r>
    </w:p>
    <w:p w14:paraId="14D1AF77">
      <w:pPr>
        <w:keepNext w:val="0"/>
        <w:keepLines w:val="0"/>
        <w:pageBreakBefore w:val="0"/>
        <w:wordWrap/>
        <w:overflowPunct/>
        <w:topLinePunct w:val="0"/>
        <w:bidi w:val="0"/>
        <w:spacing w:line="560" w:lineRule="exact"/>
        <w:ind w:left="0" w:right="0" w:firstLine="602"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b/>
          <w:bCs/>
          <w:color w:val="000000" w:themeColor="text1"/>
          <w:sz w:val="30"/>
          <w:szCs w:val="30"/>
          <w:lang w:val="en-US" w:eastAsia="zh-CN"/>
          <w14:textFill>
            <w14:solidFill>
              <w14:schemeClr w14:val="tx1"/>
            </w14:solidFill>
          </w14:textFill>
        </w:rPr>
        <w:t>接续高职</w:t>
      </w:r>
      <w:r>
        <w:rPr>
          <w:rFonts w:hint="eastAsia" w:ascii="仿宋_GB2312" w:hAnsi="仿宋_GB2312" w:eastAsia="仿宋_GB2312" w:cs="仿宋_GB2312"/>
          <w:b/>
          <w:bCs/>
          <w:color w:val="000000" w:themeColor="text1"/>
          <w:sz w:val="30"/>
          <w:szCs w:val="30"/>
          <w14:textFill>
            <w14:solidFill>
              <w14:schemeClr w14:val="tx1"/>
            </w14:solidFill>
          </w14:textFill>
        </w:rPr>
        <w:t>本科</w:t>
      </w:r>
      <w:r>
        <w:rPr>
          <w:rFonts w:hint="eastAsia" w:ascii="仿宋_GB2312" w:hAnsi="仿宋_GB2312" w:eastAsia="仿宋_GB2312" w:cs="仿宋_GB2312"/>
          <w:b/>
          <w:bCs/>
          <w:color w:val="000000" w:themeColor="text1"/>
          <w:sz w:val="30"/>
          <w:szCs w:val="30"/>
          <w:lang w:eastAsia="zh-CN"/>
          <w14:textFill>
            <w14:solidFill>
              <w14:schemeClr w14:val="tx1"/>
            </w14:solidFill>
          </w14:textFill>
        </w:rPr>
        <w:t>：</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烹饪与餐饮管理</w:t>
      </w:r>
    </w:p>
    <w:p w14:paraId="683B3AF0">
      <w:pPr>
        <w:keepNext w:val="0"/>
        <w:keepLines w:val="0"/>
        <w:pageBreakBefore w:val="0"/>
        <w:wordWrap/>
        <w:overflowPunct/>
        <w:topLinePunct w:val="0"/>
        <w:bidi w:val="0"/>
        <w:spacing w:line="560" w:lineRule="exact"/>
        <w:ind w:left="0" w:right="0" w:firstLine="602" w:firstLineChars="200"/>
        <w:jc w:val="left"/>
        <w:rPr>
          <w:rFonts w:hint="default" w:ascii="仿宋_GB2312" w:hAnsi="仿宋_GB2312" w:eastAsia="仿宋_GB2312" w:cs="仿宋_GB2312"/>
          <w:b/>
          <w:bCs/>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b/>
          <w:bCs/>
          <w:color w:val="000000" w:themeColor="text1"/>
          <w:sz w:val="30"/>
          <w:szCs w:val="30"/>
          <w:lang w:val="en-US" w:eastAsia="zh-CN"/>
          <w14:textFill>
            <w14:solidFill>
              <w14:schemeClr w14:val="tx1"/>
            </w14:solidFill>
          </w14:textFill>
        </w:rPr>
        <w:t>接续普通本科：</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烹饪与营养教育</w:t>
      </w:r>
    </w:p>
    <w:p w14:paraId="70D7CDA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bookmarkStart w:id="11" w:name="_Toc16456"/>
      <w:r>
        <w:rPr>
          <w:rFonts w:hint="eastAsia" w:ascii="黑体" w:hAnsi="黑体" w:eastAsia="黑体" w:cs="黑体"/>
          <w:snapToGrid w:val="0"/>
          <w:color w:val="000000"/>
          <w:kern w:val="0"/>
          <w:sz w:val="28"/>
          <w:szCs w:val="28"/>
          <w:lang w:val="en-US" w:eastAsia="zh-CN"/>
        </w:rPr>
        <w:t>五、培养目标与培养规格</w:t>
      </w:r>
      <w:bookmarkEnd w:id="11"/>
    </w:p>
    <w:p w14:paraId="593E9F70">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12" w:name="_Toc24537"/>
      <w:r>
        <w:rPr>
          <w:rFonts w:hint="eastAsia" w:ascii="楷体_GB2312" w:hAnsi="楷体_GB2312" w:eastAsia="楷体_GB2312" w:cs="楷体_GB2312"/>
          <w:snapToGrid w:val="0"/>
          <w:color w:val="000000"/>
          <w:kern w:val="0"/>
          <w:sz w:val="28"/>
          <w:szCs w:val="28"/>
          <w:lang w:val="en-US" w:eastAsia="zh-CN"/>
        </w:rPr>
        <w:t>（一）培养目标</w:t>
      </w:r>
      <w:bookmarkEnd w:id="12"/>
    </w:p>
    <w:p w14:paraId="7607EAA1">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本专业培养能够践行社会主义核心价值观，传承技能文明，德智体美劳全面发展，具有良好的人文素养、科学素养、数字素养、职业道德，爱岗敬业的职业精神和精益求精的工匠精神，扎实的文化基础知识、较强的就业创业能力和学习能力，掌握本专业知识和技术技能，具备职业综合素质和行动能力，面向餐饮业的餐饮服务人员等职业，能够从事面点原料选配、中式面点制作、西式面点制作等工作的技能人才。</w:t>
      </w:r>
    </w:p>
    <w:p w14:paraId="465593CB">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（二）培养规格</w:t>
      </w:r>
    </w:p>
    <w:p w14:paraId="525B99A1">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1、素质</w:t>
      </w:r>
    </w:p>
    <w:p w14:paraId="6267F39B">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（1）</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坚定拥护中国共产党领导和中国特色社会主义制度，以习近平新时代中国特色社会主义思想为指导，践行社会主义核心价值观，具有坚定的理想信念、深厚的爱国情感和中华民族自豪感。</w:t>
      </w:r>
    </w:p>
    <w:p w14:paraId="591A2F4F">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（2）树立正确的劳动观，尊重劳动，热爱劳动，具备与本专业职业发展相适应的劳动素养，弘扬劳模精神、劳动精神、工匠精神，弘扬劳动光荣、技能宝贵、创造伟大的时代风尚。</w:t>
      </w:r>
    </w:p>
    <w:p w14:paraId="5AFE3438">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（3）严守《食品安全法》《消费者权益保护法》等行业法规，培育诚信合规的职业操守，强化职业道德与法治意识。</w:t>
      </w:r>
    </w:p>
    <w:p w14:paraId="6F5D50D7">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（4）崇尚宪法、遵守法律，遵规守纪，崇德向善、诚实守信，爱岗敬业，履行道德准则和行为规范，具有社会责任感和社会参与意识。</w:t>
      </w:r>
    </w:p>
    <w:p w14:paraId="4F6A83E9">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（5）具有质量意识、环保意识、安全意识、信息素养、工匠精神、创新精神。</w:t>
      </w:r>
    </w:p>
    <w:p w14:paraId="1F557F4D">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（6）具有终身学习和可持续发展的能力，具有一定的分析问题和解决问题的能力。</w:t>
      </w:r>
    </w:p>
    <w:p w14:paraId="78090893">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2.知识</w:t>
      </w:r>
    </w:p>
    <w:p w14:paraId="514FDCF3">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1）掌握与本专业对应职业活动相关的国家法律、行业规定，掌握互联网交易安全、质量管理、网络信息安全等相关知识与技能，了解相关行业文化，具有爱岗敬业的职业精神，遵守职业道德准则和行为规范，具备社会责任感和担当精神。</w:t>
      </w:r>
    </w:p>
    <w:p w14:paraId="0DE454F0">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（2）掌握支撑本专业学习和可持续发展必备的语文、历史、数学、外语（英语等）、信息技术等文化基础知识，具有良好的人文素养与科学素养，具备职业生涯规划能力。</w:t>
      </w:r>
    </w:p>
    <w:p w14:paraId="2278DC21">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（3）掌握中式面点制作、西式面点制作相关的专业基础理论知识。</w:t>
      </w:r>
    </w:p>
    <w:p w14:paraId="402BF5D7">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（4）掌握常用烹饪原料的分类、品质鉴别及保管等方面的知识，熟悉新原料的性质及其应用。</w:t>
      </w:r>
    </w:p>
    <w:p w14:paraId="58BCA979">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（5）掌握菜点成本核算基础知识，具有成本控制意识和菜点成本核算的基本能力。</w:t>
      </w:r>
    </w:p>
    <w:p w14:paraId="5D815AD0">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（6）能应用营养学、食品卫生学知识进行点心创新以及营养餐设计与制作。</w:t>
      </w:r>
    </w:p>
    <w:p w14:paraId="74A24DA0">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3、技能</w:t>
      </w:r>
    </w:p>
    <w:p w14:paraId="60122CE1">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（1）具有良好的语言表达能力、文字表达能力、沟通合作能力，具有较强的集体意识和团队合作意识，学习1门外语并结合本专业加以运用。</w:t>
      </w:r>
    </w:p>
    <w:p w14:paraId="3C0751D9">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（2）具备扎实的中式面点实操功底，熟练掌握揉、搓、擀、包等基础技法，能独立完成多款基础中式面点完整制作流程。</w:t>
      </w:r>
    </w:p>
    <w:p w14:paraId="1621A1AB">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（3）具备标准规范的熟制操作能力，能精准把控蒸、炸、烤、煎各类火候与时长，稳定产出口感、品相合格的中式面点成品。</w:t>
      </w:r>
    </w:p>
    <w:p w14:paraId="1A2DBC08">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（4）具备标准化原料调配与前期预制加工能力，能按配方精准配比食材，完成馅料调制、面团预处理等前置工序。</w:t>
      </w:r>
    </w:p>
    <w:p w14:paraId="58213780">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（5）具备西式点心基础制作技能，能独立完成简易西式小点、冷冻半成品点心的调配、成型与加工制作。</w:t>
      </w:r>
    </w:p>
    <w:p w14:paraId="5DBCF0AE">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（6）具备蛋糕烘焙与装饰实操能力，可独立烤制基础蛋糕胚，熟练完成日常生日蛋糕裱花、简单造型装饰工作。</w:t>
      </w:r>
    </w:p>
    <w:p w14:paraId="13F6D017">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（7）具备面包基础制作实操能力，熟练掌握和面、发酵、整形、烘烤全流程，独立制作多款基础风味面包。</w:t>
      </w:r>
    </w:p>
    <w:p w14:paraId="7AC89F40">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（8）掌握必备的美育知识，了解中华优秀传统文化、广西民族文化及非遗文化，熟悉工艺美术产品分类、制作工艺、文化内涵与审美标准，具有一定的文化修养、审美能力，形成至少</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项艺术特长或爱好。</w:t>
      </w:r>
    </w:p>
    <w:p w14:paraId="62645896">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bookmarkStart w:id="13" w:name="_Toc21818"/>
      <w:r>
        <w:rPr>
          <w:rFonts w:hint="eastAsia" w:ascii="黑体" w:hAnsi="黑体" w:eastAsia="黑体" w:cs="黑体"/>
          <w:snapToGrid w:val="0"/>
          <w:color w:val="000000"/>
          <w:kern w:val="0"/>
          <w:sz w:val="28"/>
          <w:szCs w:val="28"/>
          <w:lang w:val="en-US" w:eastAsia="zh-CN"/>
        </w:rPr>
        <w:t>六、课程设置及要求</w:t>
      </w:r>
      <w:bookmarkEnd w:id="13"/>
    </w:p>
    <w:p w14:paraId="42A14AAD">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主要包括公共基础课程和专业课程。</w:t>
      </w:r>
    </w:p>
    <w:p w14:paraId="1541D2E2">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按照国家有关规定开齐开足公共基础课程。</w:t>
      </w:r>
    </w:p>
    <w:p w14:paraId="55FFE883">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应将思想政治、语文、历史、数学、外语（英语等）、信息技术、体育与健康、艺术、劳动教育等列为公共基础必修课程。将党史国史、中华优秀传统文化、国家安全教育、职业发展与就业指导、创新创业教育等列为必修课程或限定选修课程。</w:t>
      </w:r>
    </w:p>
    <w:p w14:paraId="26BD426E">
      <w:pPr>
        <w:keepNext w:val="0"/>
        <w:keepLines w:val="0"/>
        <w:pageBreakBefore w:val="0"/>
        <w:wordWrap/>
        <w:overflowPunct/>
        <w:topLinePunct w:val="0"/>
        <w:bidi w:val="0"/>
        <w:spacing w:line="560" w:lineRule="exact"/>
        <w:ind w:left="0" w:right="0" w:firstLine="600" w:firstLineChars="20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专业技能课包括一般包括专业基础课程、专业核心课程和专业拓展课程。专业基础课程是需要前置学习的基础性理论知识和技能构成的课程，是为专业核心课程提供理论和技能支撑的基础课程；专业核心课程是根据岗位工作内容、典型工作任务设置的课程，是培养核心职业能力的主干课程；专业拓展课程是根据学生发展需求横向拓展和纵向深化的课程，是提升综合职业能力的延展课程。</w:t>
      </w:r>
    </w:p>
    <w:p w14:paraId="38BC6F41">
      <w:pPr>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pPr>
      <w:bookmarkStart w:id="14" w:name="_Toc17350"/>
      <w:r>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br w:type="page"/>
      </w:r>
    </w:p>
    <w:p w14:paraId="19F13E28">
      <w:pPr>
        <w:widowControl/>
        <w:kinsoku w:val="0"/>
        <w:autoSpaceDE w:val="0"/>
        <w:autoSpaceDN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（一）课程结构图</w:t>
      </w:r>
      <w:bookmarkEnd w:id="14"/>
      <w:bookmarkStart w:id="15" w:name="_Toc27465"/>
    </w:p>
    <w:p w14:paraId="67E5F665">
      <w:pPr>
        <w:keepNext w:val="0"/>
        <w:keepLines w:val="0"/>
        <w:pageBreakBefore w:val="0"/>
        <w:numPr>
          <w:ilvl w:val="0"/>
          <w:numId w:val="0"/>
        </w:numPr>
        <w:wordWrap/>
        <w:overflowPunct/>
        <w:topLinePunct w:val="0"/>
        <w:bidi w:val="0"/>
        <w:spacing w:line="240" w:lineRule="auto"/>
        <w:outlineLvl w:val="0"/>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pPr>
      <w:r>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drawing>
          <wp:inline distT="0" distB="0" distL="114300" distR="114300">
            <wp:extent cx="6182360" cy="6217920"/>
            <wp:effectExtent l="0" t="0" r="8890" b="11430"/>
            <wp:docPr id="7" name="图片 7" descr="直播电商服务专业课程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直播电商服务专业课程结构图"/>
                    <pic:cNvPicPr>
                      <a:picLocks noChangeAspect="1"/>
                    </pic:cNvPicPr>
                  </pic:nvPicPr>
                  <pic:blipFill>
                    <a:blip r:embed="rId9"/>
                    <a:stretch>
                      <a:fillRect/>
                    </a:stretch>
                  </pic:blipFill>
                  <pic:spPr>
                    <a:xfrm>
                      <a:off x="0" y="0"/>
                      <a:ext cx="6182360" cy="6217920"/>
                    </a:xfrm>
                    <a:prstGeom prst="rect">
                      <a:avLst/>
                    </a:prstGeom>
                  </pic:spPr>
                </pic:pic>
              </a:graphicData>
            </a:graphic>
          </wp:inline>
        </w:drawing>
      </w:r>
    </w:p>
    <w:p w14:paraId="21824F66">
      <w:pPr>
        <w:keepNext w:val="0"/>
        <w:keepLines w:val="0"/>
        <w:pageBreakBefore w:val="0"/>
        <w:numPr>
          <w:ilvl w:val="0"/>
          <w:numId w:val="0"/>
        </w:numPr>
        <w:wordWrap/>
        <w:overflowPunct/>
        <w:topLinePunct w:val="0"/>
        <w:bidi w:val="0"/>
        <w:spacing w:line="540" w:lineRule="exact"/>
        <w:ind w:left="0" w:leftChars="0" w:firstLine="622" w:firstLineChars="200"/>
        <w:outlineLvl w:val="0"/>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pPr>
    </w:p>
    <w:p w14:paraId="0E608F6E">
      <w:pPr>
        <w:keepNext w:val="0"/>
        <w:keepLines w:val="0"/>
        <w:pageBreakBefore w:val="0"/>
        <w:numPr>
          <w:ilvl w:val="0"/>
          <w:numId w:val="0"/>
        </w:numPr>
        <w:wordWrap/>
        <w:overflowPunct/>
        <w:topLinePunct w:val="0"/>
        <w:bidi w:val="0"/>
        <w:spacing w:line="540" w:lineRule="exact"/>
        <w:ind w:left="0" w:leftChars="0" w:firstLine="622" w:firstLineChars="200"/>
        <w:outlineLvl w:val="0"/>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pPr>
    </w:p>
    <w:p w14:paraId="11753E6C">
      <w:pPr>
        <w:keepNext w:val="0"/>
        <w:keepLines w:val="0"/>
        <w:pageBreakBefore w:val="0"/>
        <w:numPr>
          <w:ilvl w:val="0"/>
          <w:numId w:val="0"/>
        </w:numPr>
        <w:wordWrap/>
        <w:overflowPunct/>
        <w:topLinePunct w:val="0"/>
        <w:bidi w:val="0"/>
        <w:spacing w:line="540" w:lineRule="exact"/>
        <w:ind w:left="0" w:leftChars="0" w:firstLine="622" w:firstLineChars="200"/>
        <w:outlineLvl w:val="0"/>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pPr>
    </w:p>
    <w:p w14:paraId="5EE6BF75">
      <w:pPr>
        <w:keepNext w:val="0"/>
        <w:keepLines w:val="0"/>
        <w:pageBreakBefore w:val="0"/>
        <w:numPr>
          <w:ilvl w:val="0"/>
          <w:numId w:val="0"/>
        </w:numPr>
        <w:wordWrap/>
        <w:overflowPunct/>
        <w:topLinePunct w:val="0"/>
        <w:bidi w:val="0"/>
        <w:spacing w:line="540" w:lineRule="exact"/>
        <w:ind w:left="0" w:leftChars="0" w:firstLine="622" w:firstLineChars="200"/>
        <w:outlineLvl w:val="0"/>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pPr>
    </w:p>
    <w:p w14:paraId="367CF9C0">
      <w:pPr>
        <w:keepNext w:val="0"/>
        <w:keepLines w:val="0"/>
        <w:pageBreakBefore w:val="0"/>
        <w:numPr>
          <w:ilvl w:val="0"/>
          <w:numId w:val="0"/>
        </w:numPr>
        <w:wordWrap/>
        <w:overflowPunct/>
        <w:topLinePunct w:val="0"/>
        <w:bidi w:val="0"/>
        <w:spacing w:line="540" w:lineRule="exact"/>
        <w:ind w:left="0" w:leftChars="0" w:firstLine="622" w:firstLineChars="200"/>
        <w:outlineLvl w:val="0"/>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pPr>
    </w:p>
    <w:p w14:paraId="1356D915">
      <w:pPr>
        <w:keepNext w:val="0"/>
        <w:keepLines w:val="0"/>
        <w:pageBreakBefore w:val="0"/>
        <w:numPr>
          <w:ilvl w:val="0"/>
          <w:numId w:val="0"/>
        </w:numPr>
        <w:wordWrap/>
        <w:overflowPunct/>
        <w:topLinePunct w:val="0"/>
        <w:bidi w:val="0"/>
        <w:spacing w:line="540" w:lineRule="exact"/>
        <w:ind w:left="0" w:leftChars="0" w:firstLine="622" w:firstLineChars="200"/>
        <w:outlineLvl w:val="0"/>
        <w:rPr>
          <w:rFonts w:hint="eastAsia" w:ascii="仿宋_GB2312" w:hAnsi="仿宋_GB2312" w:eastAsia="仿宋_GB2312" w:cs="仿宋_GB2312"/>
          <w:b/>
          <w:bCs/>
          <w:color w:val="000000" w:themeColor="text1"/>
          <w:spacing w:val="5"/>
          <w:kern w:val="2"/>
          <w:sz w:val="30"/>
          <w:szCs w:val="30"/>
          <w:lang w:val="en-US" w:eastAsia="zh-CN" w:bidi="ar-SA"/>
          <w14:textFill>
            <w14:solidFill>
              <w14:schemeClr w14:val="tx1"/>
            </w14:solidFill>
          </w14:textFill>
        </w:rPr>
      </w:pPr>
    </w:p>
    <w:p w14:paraId="61A9C07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（二）公共基础课设置及要求</w:t>
      </w:r>
      <w:bookmarkEnd w:id="15"/>
    </w:p>
    <w:p w14:paraId="757DBF5B">
      <w:pPr>
        <w:pStyle w:val="4"/>
        <w:keepNext w:val="0"/>
        <w:keepLines w:val="0"/>
        <w:pageBreakBefore w:val="0"/>
        <w:widowControl w:val="0"/>
        <w:kinsoku/>
        <w:wordWrap/>
        <w:overflowPunct/>
        <w:topLinePunct w:val="0"/>
        <w:autoSpaceDE/>
        <w:autoSpaceDN/>
        <w:bidi w:val="0"/>
        <w:adjustRightInd/>
        <w:snapToGrid/>
        <w:spacing w:line="560" w:lineRule="exact"/>
        <w:ind w:left="0" w:firstLine="883"/>
        <w:textAlignment w:val="auto"/>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p>
    <w:p w14:paraId="27A0E264">
      <w:pPr>
        <w:keepNext w:val="0"/>
        <w:keepLines w:val="0"/>
        <w:pageBreakBefore w:val="0"/>
        <w:widowControl w:val="0"/>
        <w:kinsoku/>
        <w:wordWrap/>
        <w:overflowPunct/>
        <w:topLinePunct w:val="0"/>
        <w:autoSpaceDE/>
        <w:autoSpaceDN/>
        <w:bidi w:val="0"/>
        <w:adjustRightInd/>
        <w:snapToGrid/>
        <w:spacing w:line="560" w:lineRule="exact"/>
        <w:ind w:left="0" w:firstLine="3900" w:firstLineChars="1300"/>
        <w:jc w:val="left"/>
        <w:textAlignment w:val="auto"/>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公共基础课程一览表</w:t>
      </w:r>
    </w:p>
    <w:tbl>
      <w:tblPr>
        <w:tblStyle w:val="14"/>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2"/>
        <w:gridCol w:w="1539"/>
        <w:gridCol w:w="6549"/>
        <w:gridCol w:w="1120"/>
      </w:tblGrid>
      <w:tr w14:paraId="31C6E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8" w:type="pct"/>
            <w:noWrap w:val="0"/>
            <w:vAlign w:val="center"/>
          </w:tcPr>
          <w:p w14:paraId="1F4ACCA9">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2"/>
                <w:sz w:val="24"/>
                <w:szCs w:val="24"/>
                <w:lang w:val="en-US" w:eastAsia="zh-CN"/>
                <w14:textFill>
                  <w14:solidFill>
                    <w14:schemeClr w14:val="tx1"/>
                  </w14:solidFill>
                </w14:textFill>
              </w:rPr>
            </w:pPr>
            <w:bookmarkStart w:id="16" w:name="OLE_LINK1"/>
            <w:r>
              <w:rPr>
                <w:rFonts w:hint="eastAsia" w:ascii="仿宋_GB2312" w:hAnsi="仿宋_GB2312" w:eastAsia="仿宋_GB2312" w:cs="仿宋_GB2312"/>
                <w:color w:val="000000" w:themeColor="text1"/>
                <w:spacing w:val="-2"/>
                <w:sz w:val="24"/>
                <w:szCs w:val="24"/>
                <w:lang w:val="en-US" w:eastAsia="zh-CN"/>
                <w14:textFill>
                  <w14:solidFill>
                    <w14:schemeClr w14:val="tx1"/>
                  </w14:solidFill>
                </w14:textFill>
              </w:rPr>
              <w:t>序号</w:t>
            </w:r>
          </w:p>
        </w:tc>
        <w:tc>
          <w:tcPr>
            <w:tcW w:w="789" w:type="pct"/>
            <w:noWrap w:val="0"/>
            <w:vAlign w:val="center"/>
          </w:tcPr>
          <w:p w14:paraId="477B03F2">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7"/>
                <w:sz w:val="24"/>
                <w:szCs w:val="24"/>
                <w14:textFill>
                  <w14:solidFill>
                    <w14:schemeClr w14:val="tx1"/>
                  </w14:solidFill>
                </w14:textFill>
              </w:rPr>
            </w:pPr>
            <w:r>
              <w:rPr>
                <w:rFonts w:hint="eastAsia" w:ascii="仿宋_GB2312" w:hAnsi="仿宋_GB2312" w:eastAsia="仿宋_GB2312" w:cs="仿宋_GB2312"/>
                <w:color w:val="000000" w:themeColor="text1"/>
                <w:spacing w:val="-2"/>
                <w:sz w:val="24"/>
                <w:szCs w:val="24"/>
                <w14:textFill>
                  <w14:solidFill>
                    <w14:schemeClr w14:val="tx1"/>
                  </w14:solidFill>
                </w14:textFill>
              </w:rPr>
              <w:t>课程名称</w:t>
            </w:r>
          </w:p>
        </w:tc>
        <w:tc>
          <w:tcPr>
            <w:tcW w:w="3357" w:type="pct"/>
            <w:noWrap w:val="0"/>
            <w:vAlign w:val="center"/>
          </w:tcPr>
          <w:p w14:paraId="78517FFD">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2"/>
                <w:sz w:val="24"/>
                <w:szCs w:val="24"/>
                <w14:textFill>
                  <w14:solidFill>
                    <w14:schemeClr w14:val="tx1"/>
                  </w14:solidFill>
                </w14:textFill>
              </w:rPr>
              <w:t>主要教学内容和要求</w:t>
            </w:r>
          </w:p>
        </w:tc>
        <w:tc>
          <w:tcPr>
            <w:tcW w:w="574" w:type="pct"/>
            <w:noWrap w:val="0"/>
            <w:vAlign w:val="center"/>
          </w:tcPr>
          <w:p w14:paraId="1E1F40B3">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2"/>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2"/>
                <w:sz w:val="24"/>
                <w:szCs w:val="24"/>
                <w:lang w:val="en-US" w:eastAsia="zh-CN"/>
                <w14:textFill>
                  <w14:solidFill>
                    <w14:schemeClr w14:val="tx1"/>
                  </w14:solidFill>
                </w14:textFill>
              </w:rPr>
              <w:t>计划学时</w:t>
            </w:r>
          </w:p>
        </w:tc>
      </w:tr>
      <w:tr w14:paraId="5D6CE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78" w:type="pct"/>
            <w:noWrap w:val="0"/>
            <w:vAlign w:val="center"/>
          </w:tcPr>
          <w:p w14:paraId="0B234292">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7"/>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w:t>
            </w:r>
          </w:p>
        </w:tc>
        <w:tc>
          <w:tcPr>
            <w:tcW w:w="789" w:type="pct"/>
            <w:noWrap w:val="0"/>
            <w:vAlign w:val="center"/>
          </w:tcPr>
          <w:p w14:paraId="44DC6CF4">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7"/>
                <w:sz w:val="24"/>
                <w:szCs w:val="24"/>
                <w14:textFill>
                  <w14:solidFill>
                    <w14:schemeClr w14:val="tx1"/>
                  </w14:solidFill>
                </w14:textFill>
              </w:rPr>
              <w:t>中国特色社会</w:t>
            </w:r>
            <w:r>
              <w:rPr>
                <w:rFonts w:hint="eastAsia" w:ascii="仿宋_GB2312" w:hAnsi="仿宋_GB2312" w:eastAsia="仿宋_GB2312" w:cs="仿宋_GB2312"/>
                <w:color w:val="000000" w:themeColor="text1"/>
                <w:spacing w:val="-5"/>
                <w:sz w:val="24"/>
                <w:szCs w:val="24"/>
                <w14:textFill>
                  <w14:solidFill>
                    <w14:schemeClr w14:val="tx1"/>
                  </w14:solidFill>
                </w14:textFill>
              </w:rPr>
              <w:t>主义</w:t>
            </w:r>
          </w:p>
        </w:tc>
        <w:tc>
          <w:tcPr>
            <w:tcW w:w="3357" w:type="pct"/>
            <w:noWrap w:val="0"/>
            <w:vAlign w:val="top"/>
          </w:tcPr>
          <w:p w14:paraId="20596BB8">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76" w:firstLineChars="200"/>
              <w:textAlignment w:val="baseline"/>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依据《中等职业学校思政课课程标准》开设，以习近平新时代中国特色社会主义思想为指导，阐释中国特色社会主义的开创与发展，明确中国特色社会主义进入新时代的历史方</w:t>
            </w:r>
            <w:r>
              <w:rPr>
                <w:rFonts w:hint="eastAsia" w:ascii="仿宋_GB2312" w:hAnsi="仿宋_GB2312" w:eastAsia="仿宋_GB2312" w:cs="仿宋_GB2312"/>
                <w:color w:val="000000" w:themeColor="text1"/>
                <w:spacing w:val="5"/>
                <w:sz w:val="24"/>
                <w:szCs w:val="24"/>
                <w14:textFill>
                  <w14:solidFill>
                    <w14:schemeClr w14:val="tx1"/>
                  </w14:solidFill>
                </w14:textFill>
              </w:rPr>
              <w:t>位，阐明中国特色社会主义建设“五位一体”</w:t>
            </w:r>
            <w:r>
              <w:rPr>
                <w:rFonts w:hint="eastAsia" w:ascii="仿宋_GB2312" w:hAnsi="仿宋_GB2312" w:eastAsia="仿宋_GB2312" w:cs="仿宋_GB2312"/>
                <w:color w:val="000000" w:themeColor="text1"/>
                <w:spacing w:val="-1"/>
                <w:sz w:val="24"/>
                <w:szCs w:val="24"/>
                <w14:textFill>
                  <w14:solidFill>
                    <w14:schemeClr w14:val="tx1"/>
                  </w14:solidFill>
                </w14:textFill>
              </w:rPr>
              <w:t>总体布局的基本内容，引导学生树立对马克思主义的信仰、对中国特色社会主义的信念、对中华民族伟大复兴中国梦的信心，坚定中国特</w:t>
            </w:r>
            <w:r>
              <w:rPr>
                <w:rFonts w:hint="eastAsia" w:ascii="仿宋_GB2312" w:hAnsi="仿宋_GB2312" w:eastAsia="仿宋_GB2312" w:cs="仿宋_GB2312"/>
                <w:color w:val="000000" w:themeColor="text1"/>
                <w:sz w:val="24"/>
                <w:szCs w:val="24"/>
                <w14:textFill>
                  <w14:solidFill>
                    <w14:schemeClr w14:val="tx1"/>
                  </w14:solidFill>
                </w14:textFill>
              </w:rPr>
              <w:t>色社会主义道路自信、理论自信、制度自信、</w:t>
            </w:r>
            <w:r>
              <w:rPr>
                <w:rFonts w:hint="eastAsia" w:ascii="仿宋_GB2312" w:hAnsi="仿宋_GB2312" w:eastAsia="仿宋_GB2312" w:cs="仿宋_GB2312"/>
                <w:color w:val="000000" w:themeColor="text1"/>
                <w:spacing w:val="-1"/>
                <w:sz w:val="24"/>
                <w:szCs w:val="24"/>
                <w14:textFill>
                  <w14:solidFill>
                    <w14:schemeClr w14:val="tx1"/>
                  </w14:solidFill>
                </w14:textFill>
              </w:rPr>
              <w:t>文化自信，把爱国情、强国志、报国行自觉融入坚持和发展中国特色社会主义事业</w:t>
            </w:r>
            <w:r>
              <w:rPr>
                <w:rFonts w:hint="eastAsia" w:ascii="仿宋_GB2312" w:hAnsi="仿宋_GB2312" w:eastAsia="仿宋_GB2312" w:cs="仿宋_GB2312"/>
                <w:color w:val="000000" w:themeColor="text1"/>
                <w:spacing w:val="-1"/>
                <w:sz w:val="24"/>
                <w:szCs w:val="24"/>
                <w:lang w:eastAsia="zh-CN"/>
                <w14:textFill>
                  <w14:solidFill>
                    <w14:schemeClr w14:val="tx1"/>
                  </w14:solidFill>
                </w14:textFill>
              </w:rPr>
              <w:t>、</w:t>
            </w:r>
            <w:r>
              <w:rPr>
                <w:rFonts w:hint="eastAsia" w:ascii="仿宋_GB2312" w:hAnsi="仿宋_GB2312" w:eastAsia="仿宋_GB2312" w:cs="仿宋_GB2312"/>
                <w:color w:val="000000" w:themeColor="text1"/>
                <w:spacing w:val="-1"/>
                <w:sz w:val="24"/>
                <w:szCs w:val="24"/>
                <w14:textFill>
                  <w14:solidFill>
                    <w14:schemeClr w14:val="tx1"/>
                  </w14:solidFill>
                </w14:textFill>
              </w:rPr>
              <w:t>建设社会主义现代化强国、实现中华民族伟大复兴的</w:t>
            </w:r>
            <w:r>
              <w:rPr>
                <w:rFonts w:hint="eastAsia" w:ascii="仿宋_GB2312" w:hAnsi="仿宋_GB2312" w:eastAsia="仿宋_GB2312" w:cs="仿宋_GB2312"/>
                <w:color w:val="000000" w:themeColor="text1"/>
                <w:spacing w:val="-10"/>
                <w:sz w:val="24"/>
                <w:szCs w:val="24"/>
                <w14:textFill>
                  <w14:solidFill>
                    <w14:schemeClr w14:val="tx1"/>
                  </w14:solidFill>
                </w14:textFill>
              </w:rPr>
              <w:t>奋斗之中。</w:t>
            </w:r>
          </w:p>
        </w:tc>
        <w:tc>
          <w:tcPr>
            <w:tcW w:w="574" w:type="pct"/>
            <w:noWrap w:val="0"/>
            <w:vAlign w:val="center"/>
          </w:tcPr>
          <w:p w14:paraId="5A969FBC">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r w14:paraId="6E7FD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78" w:type="pct"/>
            <w:noWrap w:val="0"/>
            <w:vAlign w:val="center"/>
          </w:tcPr>
          <w:p w14:paraId="6104320B">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3"/>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2</w:t>
            </w:r>
          </w:p>
        </w:tc>
        <w:tc>
          <w:tcPr>
            <w:tcW w:w="789" w:type="pct"/>
            <w:noWrap w:val="0"/>
            <w:vAlign w:val="center"/>
          </w:tcPr>
          <w:p w14:paraId="37B1FD03">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3"/>
                <w:sz w:val="24"/>
                <w:szCs w:val="24"/>
                <w14:textFill>
                  <w14:solidFill>
                    <w14:schemeClr w14:val="tx1"/>
                  </w14:solidFill>
                </w14:textFill>
              </w:rPr>
              <w:t>心理健康与职</w:t>
            </w:r>
            <w:r>
              <w:rPr>
                <w:rFonts w:hint="eastAsia" w:ascii="仿宋_GB2312" w:hAnsi="仿宋_GB2312" w:eastAsia="仿宋_GB2312" w:cs="仿宋_GB2312"/>
                <w:color w:val="000000" w:themeColor="text1"/>
                <w:spacing w:val="-5"/>
                <w:sz w:val="24"/>
                <w:szCs w:val="24"/>
                <w14:textFill>
                  <w14:solidFill>
                    <w14:schemeClr w14:val="tx1"/>
                  </w14:solidFill>
                </w14:textFill>
              </w:rPr>
              <w:t>业生涯</w:t>
            </w:r>
          </w:p>
        </w:tc>
        <w:tc>
          <w:tcPr>
            <w:tcW w:w="3357" w:type="pct"/>
            <w:noWrap w:val="0"/>
            <w:vAlign w:val="top"/>
          </w:tcPr>
          <w:p w14:paraId="7332B17B">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76" w:firstLineChars="200"/>
              <w:textAlignment w:val="baseline"/>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w:t>
            </w:r>
            <w:r>
              <w:rPr>
                <w:rFonts w:hint="eastAsia" w:ascii="仿宋_GB2312" w:hAnsi="仿宋_GB2312" w:eastAsia="仿宋_GB2312" w:cs="仿宋_GB2312"/>
                <w:color w:val="000000" w:themeColor="text1"/>
                <w:spacing w:val="-2"/>
                <w:sz w:val="24"/>
                <w:szCs w:val="24"/>
                <w14:textFill>
                  <w14:solidFill>
                    <w14:schemeClr w14:val="tx1"/>
                  </w14:solidFill>
                </w14:textFill>
              </w:rPr>
              <w:t>强、敬业乐群的心理品质和自尊自信、理性平</w:t>
            </w:r>
            <w:r>
              <w:rPr>
                <w:rFonts w:hint="eastAsia" w:ascii="仿宋_GB2312" w:hAnsi="仿宋_GB2312" w:eastAsia="仿宋_GB2312" w:cs="仿宋_GB2312"/>
                <w:color w:val="000000" w:themeColor="text1"/>
                <w:spacing w:val="-1"/>
                <w:sz w:val="24"/>
                <w:szCs w:val="24"/>
                <w14:textFill>
                  <w14:solidFill>
                    <w14:schemeClr w14:val="tx1"/>
                  </w14:solidFill>
                </w14:textFill>
              </w:rPr>
              <w:t>和、积极向上的良好心态，根据社会发展需要和学生心理特点进行职业生涯指导，为职业生</w:t>
            </w:r>
            <w:r>
              <w:rPr>
                <w:rFonts w:hint="eastAsia" w:ascii="仿宋_GB2312" w:hAnsi="仿宋_GB2312" w:eastAsia="仿宋_GB2312" w:cs="仿宋_GB2312"/>
                <w:color w:val="000000" w:themeColor="text1"/>
                <w:spacing w:val="-7"/>
                <w:sz w:val="24"/>
                <w:szCs w:val="24"/>
                <w14:textFill>
                  <w14:solidFill>
                    <w14:schemeClr w14:val="tx1"/>
                  </w14:solidFill>
                </w14:textFill>
              </w:rPr>
              <w:t>涯发展奠定基础。</w:t>
            </w:r>
          </w:p>
        </w:tc>
        <w:tc>
          <w:tcPr>
            <w:tcW w:w="574" w:type="pct"/>
            <w:noWrap w:val="0"/>
            <w:vAlign w:val="center"/>
          </w:tcPr>
          <w:p w14:paraId="24CA4E9F">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r w14:paraId="7B860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blHeader/>
          <w:jc w:val="center"/>
        </w:trPr>
        <w:tc>
          <w:tcPr>
            <w:tcW w:w="278" w:type="pct"/>
            <w:noWrap w:val="0"/>
            <w:vAlign w:val="center"/>
          </w:tcPr>
          <w:p w14:paraId="293A41E6">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3"/>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w:t>
            </w:r>
          </w:p>
        </w:tc>
        <w:tc>
          <w:tcPr>
            <w:tcW w:w="789" w:type="pct"/>
            <w:noWrap w:val="0"/>
            <w:vAlign w:val="center"/>
          </w:tcPr>
          <w:p w14:paraId="2CC0259C">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3"/>
                <w:sz w:val="24"/>
                <w:szCs w:val="24"/>
                <w14:textFill>
                  <w14:solidFill>
                    <w14:schemeClr w14:val="tx1"/>
                  </w14:solidFill>
                </w14:textFill>
              </w:rPr>
              <w:t>哲学与人生</w:t>
            </w:r>
          </w:p>
        </w:tc>
        <w:tc>
          <w:tcPr>
            <w:tcW w:w="3357" w:type="pct"/>
            <w:noWrap w:val="0"/>
            <w:vAlign w:val="top"/>
          </w:tcPr>
          <w:p w14:paraId="092F92CC">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476" w:firstLineChars="200"/>
              <w:textAlignment w:val="baseline"/>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w:t>
            </w:r>
            <w:r>
              <w:rPr>
                <w:rFonts w:hint="eastAsia" w:ascii="仿宋_GB2312" w:hAnsi="仿宋_GB2312" w:eastAsia="仿宋_GB2312" w:cs="仿宋_GB2312"/>
                <w:color w:val="000000" w:themeColor="text1"/>
                <w:spacing w:val="-9"/>
                <w:sz w:val="24"/>
                <w:szCs w:val="24"/>
                <w14:textFill>
                  <w14:solidFill>
                    <w14:schemeClr w14:val="tx1"/>
                  </w14:solidFill>
                </w14:textFill>
              </w:rPr>
              <w:t>价值观基础。</w:t>
            </w:r>
          </w:p>
        </w:tc>
        <w:tc>
          <w:tcPr>
            <w:tcW w:w="574" w:type="pct"/>
            <w:noWrap w:val="0"/>
            <w:vAlign w:val="center"/>
          </w:tcPr>
          <w:p w14:paraId="5AF7EFA3">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r w14:paraId="16479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0" w:hRule="atLeast"/>
          <w:tblHeader/>
          <w:jc w:val="center"/>
        </w:trPr>
        <w:tc>
          <w:tcPr>
            <w:tcW w:w="278" w:type="pct"/>
            <w:noWrap w:val="0"/>
            <w:vAlign w:val="center"/>
          </w:tcPr>
          <w:p w14:paraId="67907E64">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4</w:t>
            </w:r>
          </w:p>
        </w:tc>
        <w:tc>
          <w:tcPr>
            <w:tcW w:w="789" w:type="pct"/>
            <w:noWrap w:val="0"/>
            <w:vAlign w:val="center"/>
          </w:tcPr>
          <w:p w14:paraId="35003015">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3"/>
                <w:sz w:val="24"/>
                <w:szCs w:val="24"/>
                <w14:textFill>
                  <w14:solidFill>
                    <w14:schemeClr w14:val="tx1"/>
                  </w14:solidFill>
                </w14:textFill>
              </w:rPr>
            </w:pPr>
            <w:r>
              <w:rPr>
                <w:rFonts w:hint="eastAsia" w:ascii="仿宋_GB2312" w:hAnsi="仿宋_GB2312" w:eastAsia="仿宋_GB2312" w:cs="仿宋_GB2312"/>
                <w:color w:val="000000" w:themeColor="text1"/>
                <w:spacing w:val="-5"/>
                <w:sz w:val="24"/>
                <w:szCs w:val="24"/>
                <w14:textFill>
                  <w14:solidFill>
                    <w14:schemeClr w14:val="tx1"/>
                  </w14:solidFill>
                </w14:textFill>
              </w:rPr>
              <w:t>职业</w:t>
            </w: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道</w:t>
            </w:r>
            <w:r>
              <w:rPr>
                <w:rFonts w:hint="eastAsia" w:ascii="仿宋_GB2312" w:hAnsi="仿宋_GB2312" w:eastAsia="仿宋_GB2312" w:cs="仿宋_GB2312"/>
                <w:color w:val="000000" w:themeColor="text1"/>
                <w:spacing w:val="-5"/>
                <w:sz w:val="24"/>
                <w:szCs w:val="24"/>
                <w14:textFill>
                  <w14:solidFill>
                    <w14:schemeClr w14:val="tx1"/>
                  </w14:solidFill>
                </w14:textFill>
              </w:rPr>
              <w:t>德</w:t>
            </w:r>
            <w:r>
              <w:rPr>
                <w:rFonts w:hint="eastAsia" w:ascii="仿宋_GB2312" w:hAnsi="仿宋_GB2312" w:eastAsia="仿宋_GB2312" w:cs="仿宋_GB2312"/>
                <w:color w:val="000000" w:themeColor="text1"/>
                <w:spacing w:val="-6"/>
                <w:sz w:val="24"/>
                <w:szCs w:val="24"/>
                <w14:textFill>
                  <w14:solidFill>
                    <w14:schemeClr w14:val="tx1"/>
                  </w14:solidFill>
                </w14:textFill>
              </w:rPr>
              <w:t>与法治</w:t>
            </w:r>
          </w:p>
        </w:tc>
        <w:tc>
          <w:tcPr>
            <w:tcW w:w="3357" w:type="pct"/>
            <w:noWrap w:val="0"/>
            <w:vAlign w:val="top"/>
          </w:tcPr>
          <w:p w14:paraId="62DF65D4">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依据《中等职业学校思政课课程标准》开设，着眼于提高中职学生的职业道德素质和法治素养，对学生进行职业道德和法治教</w:t>
            </w:r>
            <w:r>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t>育。</w:t>
            </w:r>
            <w:r>
              <w:rPr>
                <w:rFonts w:hint="eastAsia" w:ascii="仿宋_GB2312" w:hAnsi="仿宋_GB2312" w:eastAsia="仿宋_GB2312" w:cs="仿宋_GB2312"/>
                <w:color w:val="000000" w:themeColor="text1"/>
                <w:spacing w:val="-1"/>
                <w:sz w:val="24"/>
                <w:szCs w:val="24"/>
                <w14:textFill>
                  <w14:solidFill>
                    <w14:schemeClr w14:val="tx1"/>
                  </w14:solidFill>
                </w14:textFill>
              </w:rPr>
              <w:t>帮助学生理解全面依法治国的总目标和基本要求，了解职业道德和法律规范，增强职业道德和法治意识，养成爱岗敬业、依法办事的思维方式和行为习惯。</w:t>
            </w:r>
          </w:p>
        </w:tc>
        <w:tc>
          <w:tcPr>
            <w:tcW w:w="574" w:type="pct"/>
            <w:noWrap w:val="0"/>
            <w:vAlign w:val="center"/>
          </w:tcPr>
          <w:p w14:paraId="107DEAA1">
            <w:pPr>
              <w:pStyle w:val="13"/>
              <w:keepNext w:val="0"/>
              <w:keepLines w:val="0"/>
              <w:pageBreakBefore w:val="0"/>
              <w:kinsoku/>
              <w:wordWrap/>
              <w:overflowPunct/>
              <w:topLinePunct w:val="0"/>
              <w:bidi w:val="0"/>
              <w:spacing w:line="560" w:lineRule="atLeast"/>
              <w:ind w:left="0" w:leftChars="0" w:right="0" w:rightChars="0" w:firstLine="0" w:firstLineChars="0"/>
              <w:jc w:val="center"/>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r w14:paraId="20E1E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F6FFFAC">
            <w:pPr>
              <w:pStyle w:val="13"/>
              <w:keepNext w:val="0"/>
              <w:keepLines w:val="0"/>
              <w:pageBreakBefore w:val="0"/>
              <w:kinsoku/>
              <w:wordWrap/>
              <w:overflowPunct/>
              <w:topLinePunct w:val="0"/>
              <w:bidi w:val="0"/>
              <w:spacing w:line="560" w:lineRule="atLeast"/>
              <w:ind w:left="0" w:leftChars="0" w:right="0" w:rightChars="0" w:firstLine="0" w:firstLineChars="0"/>
              <w:jc w:val="center"/>
              <w:rPr>
                <w:rFonts w:hint="eastAsia" w:ascii="仿宋_GB2312" w:hAnsi="仿宋_GB2312" w:eastAsia="仿宋_GB2312" w:cs="仿宋_GB2312"/>
                <w:color w:val="000000" w:themeColor="text1"/>
                <w:spacing w:val="-6"/>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5</w:t>
            </w:r>
          </w:p>
        </w:tc>
        <w:tc>
          <w:tcPr>
            <w:tcW w:w="789" w:type="pct"/>
            <w:noWrap w:val="0"/>
            <w:vAlign w:val="center"/>
          </w:tcPr>
          <w:p w14:paraId="17EE00BD">
            <w:pPr>
              <w:pStyle w:val="13"/>
              <w:keepNext w:val="0"/>
              <w:keepLines w:val="0"/>
              <w:pageBreakBefore w:val="0"/>
              <w:kinsoku/>
              <w:wordWrap/>
              <w:overflowPunct/>
              <w:topLinePunct w:val="0"/>
              <w:bidi w:val="0"/>
              <w:spacing w:line="560" w:lineRule="atLeast"/>
              <w:ind w:left="0" w:leftChars="0" w:right="0" w:rightChars="0" w:firstLine="0" w:firstLineChars="0"/>
              <w:jc w:val="center"/>
              <w:rPr>
                <w:rFonts w:hint="eastAsia" w:ascii="仿宋_GB2312" w:hAnsi="仿宋_GB2312" w:eastAsia="仿宋_GB2312" w:cs="仿宋_GB2312"/>
                <w:color w:val="000000" w:themeColor="text1"/>
                <w:spacing w:val="-6"/>
                <w:sz w:val="24"/>
                <w:szCs w:val="24"/>
                <w14:textFill>
                  <w14:solidFill>
                    <w14:schemeClr w14:val="tx1"/>
                  </w14:solidFill>
                </w14:textFill>
              </w:rPr>
            </w:pPr>
            <w:r>
              <w:rPr>
                <w:rFonts w:hint="eastAsia" w:ascii="仿宋_GB2312" w:hAnsi="仿宋_GB2312" w:eastAsia="仿宋_GB2312" w:cs="仿宋_GB2312"/>
                <w:color w:val="000000" w:themeColor="text1"/>
                <w:spacing w:val="-6"/>
                <w:sz w:val="24"/>
                <w:szCs w:val="24"/>
                <w14:textFill>
                  <w14:solidFill>
                    <w14:schemeClr w14:val="tx1"/>
                  </w14:solidFill>
                </w14:textFill>
              </w:rPr>
              <w:t>习近平新时代中国特色社会主义思想学生读本</w:t>
            </w:r>
          </w:p>
        </w:tc>
        <w:tc>
          <w:tcPr>
            <w:tcW w:w="3357" w:type="pct"/>
            <w:noWrap w:val="0"/>
            <w:vAlign w:val="top"/>
          </w:tcPr>
          <w:p w14:paraId="4CC5DFF8">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noWrap w:val="0"/>
            <w:vAlign w:val="center"/>
          </w:tcPr>
          <w:p w14:paraId="22371CBC">
            <w:pPr>
              <w:pStyle w:val="13"/>
              <w:keepNext w:val="0"/>
              <w:keepLines w:val="0"/>
              <w:pageBreakBefore w:val="0"/>
              <w:kinsoku/>
              <w:wordWrap/>
              <w:overflowPunct/>
              <w:topLinePunct w:val="0"/>
              <w:bidi w:val="0"/>
              <w:spacing w:line="560" w:lineRule="atLeast"/>
              <w:ind w:left="0" w:leftChars="0" w:right="0" w:rightChars="0" w:firstLine="0" w:firstLineChars="0"/>
              <w:jc w:val="center"/>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20</w:t>
            </w:r>
          </w:p>
        </w:tc>
      </w:tr>
      <w:tr w14:paraId="18324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15" w:hRule="atLeast"/>
          <w:tblHeader/>
          <w:jc w:val="center"/>
        </w:trPr>
        <w:tc>
          <w:tcPr>
            <w:tcW w:w="278" w:type="pct"/>
            <w:noWrap w:val="0"/>
            <w:vAlign w:val="center"/>
          </w:tcPr>
          <w:p w14:paraId="0B6F8877">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2"/>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6</w:t>
            </w:r>
          </w:p>
        </w:tc>
        <w:tc>
          <w:tcPr>
            <w:tcW w:w="789" w:type="pct"/>
            <w:noWrap w:val="0"/>
            <w:vAlign w:val="center"/>
          </w:tcPr>
          <w:p w14:paraId="1105F0D8">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3"/>
                <w:sz w:val="24"/>
                <w:szCs w:val="24"/>
                <w14:textFill>
                  <w14:solidFill>
                    <w14:schemeClr w14:val="tx1"/>
                  </w14:solidFill>
                </w14:textFill>
              </w:rPr>
            </w:pPr>
            <w:r>
              <w:rPr>
                <w:rFonts w:hint="eastAsia" w:ascii="仿宋_GB2312" w:hAnsi="仿宋_GB2312" w:eastAsia="仿宋_GB2312" w:cs="仿宋_GB2312"/>
                <w:color w:val="000000" w:themeColor="text1"/>
                <w:spacing w:val="-2"/>
                <w:sz w:val="24"/>
                <w:szCs w:val="24"/>
                <w14:textFill>
                  <w14:solidFill>
                    <w14:schemeClr w14:val="tx1"/>
                  </w14:solidFill>
                </w14:textFill>
              </w:rPr>
              <w:t>语文</w:t>
            </w:r>
          </w:p>
        </w:tc>
        <w:tc>
          <w:tcPr>
            <w:tcW w:w="3357" w:type="pct"/>
            <w:noWrap w:val="0"/>
            <w:vAlign w:val="top"/>
          </w:tcPr>
          <w:p w14:paraId="7C07C9F9">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语文课程标准》开设，对学生进行阅读与欣赏、表达与交流的教学以及语文综合实践活动的开展，使学生掌握必需的语文基础知识，并注重培养学生日常生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w:t>
            </w:r>
            <w:r>
              <w:rPr>
                <w:rFonts w:hint="eastAsia" w:ascii="仿宋_GB2312" w:hAnsi="仿宋_GB2312" w:eastAsia="仿宋_GB2312" w:cs="仿宋_GB2312"/>
                <w:color w:val="000000" w:themeColor="text1"/>
                <w:spacing w:val="-1"/>
                <w:sz w:val="24"/>
                <w:szCs w:val="24"/>
                <w:lang w:eastAsia="zh-CN"/>
                <w14:textFill>
                  <w14:solidFill>
                    <w14:schemeClr w14:val="tx1"/>
                  </w14:solidFill>
                </w14:textFill>
              </w:rPr>
              <w:t>，</w:t>
            </w:r>
            <w:r>
              <w:rPr>
                <w:rFonts w:hint="eastAsia" w:ascii="仿宋_GB2312" w:hAnsi="仿宋_GB2312" w:eastAsia="仿宋_GB2312" w:cs="仿宋_GB2312"/>
                <w:color w:val="000000" w:themeColor="text1"/>
                <w:spacing w:val="-1"/>
                <w:sz w:val="24"/>
                <w:szCs w:val="24"/>
                <w14:textFill>
                  <w14:solidFill>
                    <w14:schemeClr w14:val="tx1"/>
                  </w14:solidFill>
                </w14:textFill>
              </w:rPr>
              <w:t>提高科学文化素养，以适应就业和创业的需要，形成良好的个性、健全的人格，促进职业生涯的发展。第五学期课程内容是针对升学模式而设定。</w:t>
            </w:r>
          </w:p>
          <w:p w14:paraId="5CB9DBF8">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0" w:firstLineChars="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包含三个模块：基础模块（144学时）、职业模块（54学时）、拓展模块（36学时）</w:t>
            </w:r>
          </w:p>
        </w:tc>
        <w:tc>
          <w:tcPr>
            <w:tcW w:w="574" w:type="pct"/>
            <w:noWrap w:val="0"/>
            <w:vAlign w:val="center"/>
          </w:tcPr>
          <w:p w14:paraId="781BD8C2">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0" w:firstLineChars="0"/>
              <w:jc w:val="center"/>
              <w:textAlignment w:val="baseline"/>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234</w:t>
            </w:r>
          </w:p>
        </w:tc>
      </w:tr>
      <w:tr w14:paraId="1F02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0" w:hRule="atLeast"/>
          <w:tblHeader/>
          <w:jc w:val="center"/>
        </w:trPr>
        <w:tc>
          <w:tcPr>
            <w:tcW w:w="278" w:type="pct"/>
            <w:noWrap w:val="0"/>
            <w:vAlign w:val="center"/>
          </w:tcPr>
          <w:p w14:paraId="7E6ECF22">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2"/>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7</w:t>
            </w:r>
          </w:p>
        </w:tc>
        <w:tc>
          <w:tcPr>
            <w:tcW w:w="789" w:type="pct"/>
            <w:noWrap w:val="0"/>
            <w:vAlign w:val="center"/>
          </w:tcPr>
          <w:p w14:paraId="1AEDA8C7">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2"/>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2"/>
                <w:sz w:val="24"/>
                <w:szCs w:val="24"/>
                <w:lang w:val="en-US" w:eastAsia="zh-CN"/>
                <w14:textFill>
                  <w14:solidFill>
                    <w14:schemeClr w14:val="tx1"/>
                  </w14:solidFill>
                </w14:textFill>
              </w:rPr>
              <w:t>历史</w:t>
            </w:r>
          </w:p>
        </w:tc>
        <w:tc>
          <w:tcPr>
            <w:tcW w:w="3357" w:type="pct"/>
            <w:noWrap w:val="0"/>
            <w:vAlign w:val="top"/>
          </w:tcPr>
          <w:p w14:paraId="3EC1012C">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351B5B3D">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0" w:firstLineChars="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包含两个模块：基础模块（72学时——中国历史54学时、世界历史27学时）、拓展模块（职业教育与社会发展专题、历史上的著名工匠专题，18学时）</w:t>
            </w:r>
          </w:p>
        </w:tc>
        <w:tc>
          <w:tcPr>
            <w:tcW w:w="574" w:type="pct"/>
            <w:noWrap w:val="0"/>
            <w:vAlign w:val="center"/>
          </w:tcPr>
          <w:p w14:paraId="71632C46">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0" w:firstLineChars="0"/>
              <w:jc w:val="center"/>
              <w:textAlignment w:val="baseline"/>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90</w:t>
            </w:r>
          </w:p>
        </w:tc>
      </w:tr>
      <w:tr w14:paraId="3C1E5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blHeader/>
          <w:jc w:val="center"/>
        </w:trPr>
        <w:tc>
          <w:tcPr>
            <w:tcW w:w="278" w:type="pct"/>
            <w:noWrap w:val="0"/>
            <w:vAlign w:val="center"/>
          </w:tcPr>
          <w:p w14:paraId="4E4A9FF6">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8</w:t>
            </w:r>
          </w:p>
        </w:tc>
        <w:tc>
          <w:tcPr>
            <w:tcW w:w="789" w:type="pct"/>
            <w:noWrap w:val="0"/>
            <w:vAlign w:val="center"/>
          </w:tcPr>
          <w:p w14:paraId="66BC5595">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3"/>
                <w:kern w:val="2"/>
                <w:sz w:val="24"/>
                <w:szCs w:val="24"/>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5"/>
                <w:sz w:val="24"/>
                <w:szCs w:val="24"/>
                <w14:textFill>
                  <w14:solidFill>
                    <w14:schemeClr w14:val="tx1"/>
                  </w14:solidFill>
                </w14:textFill>
              </w:rPr>
              <w:t>英语</w:t>
            </w:r>
          </w:p>
        </w:tc>
        <w:tc>
          <w:tcPr>
            <w:tcW w:w="3357" w:type="pct"/>
            <w:noWrap w:val="0"/>
            <w:vAlign w:val="top"/>
          </w:tcPr>
          <w:p w14:paraId="03F10F55">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eastAsia" w:ascii="仿宋_GB2312" w:hAnsi="仿宋_GB2312" w:eastAsia="仿宋_GB2312" w:cs="仿宋_GB2312"/>
                <w:color w:val="000000" w:themeColor="text1"/>
                <w:spacing w:val="-16"/>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依据《中等职业学校英语课程标准》开设，对学生进行听、说、读、写、语音、词</w:t>
            </w:r>
            <w:r>
              <w:rPr>
                <w:rFonts w:hint="eastAsia" w:ascii="仿宋_GB2312" w:hAnsi="仿宋_GB2312" w:eastAsia="仿宋_GB2312" w:cs="仿宋_GB2312"/>
                <w:color w:val="000000" w:themeColor="text1"/>
                <w:spacing w:val="-2"/>
                <w:sz w:val="24"/>
                <w:szCs w:val="24"/>
                <w14:textFill>
                  <w14:solidFill>
                    <w14:schemeClr w14:val="tx1"/>
                  </w14:solidFill>
                </w14:textFill>
              </w:rPr>
              <w:t>汇、语法的教学，帮助学生进一步学习英语基</w:t>
            </w:r>
            <w:r>
              <w:rPr>
                <w:rFonts w:hint="eastAsia" w:ascii="仿宋_GB2312" w:hAnsi="仿宋_GB2312" w:eastAsia="仿宋_GB2312" w:cs="仿宋_GB2312"/>
                <w:color w:val="000000" w:themeColor="text1"/>
                <w:spacing w:val="-1"/>
                <w:sz w:val="24"/>
                <w:szCs w:val="24"/>
                <w14:textFill>
                  <w14:solidFill>
                    <w14:schemeClr w14:val="tx1"/>
                  </w14:solidFill>
                </w14:textFill>
              </w:rPr>
              <w:t>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w:t>
            </w:r>
            <w:r>
              <w:rPr>
                <w:rFonts w:hint="eastAsia" w:ascii="仿宋_GB2312" w:hAnsi="仿宋_GB2312" w:eastAsia="仿宋_GB2312" w:cs="仿宋_GB2312"/>
                <w:color w:val="000000" w:themeColor="text1"/>
                <w:spacing w:val="-16"/>
                <w:sz w:val="24"/>
                <w:szCs w:val="24"/>
                <w14:textFill>
                  <w14:solidFill>
                    <w14:schemeClr w14:val="tx1"/>
                  </w14:solidFill>
                </w14:textFill>
              </w:rPr>
              <w:t>定。</w:t>
            </w:r>
          </w:p>
          <w:p w14:paraId="24EE715F">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textAlignment w:val="baseline"/>
              <w:rPr>
                <w:rFonts w:hint="eastAsia" w:ascii="仿宋_GB2312" w:hAnsi="仿宋_GB2312" w:eastAsia="仿宋_GB2312" w:cs="仿宋_GB2312"/>
                <w:color w:val="000000" w:themeColor="text1"/>
                <w:spacing w:val="-16"/>
                <w:kern w:val="2"/>
                <w:sz w:val="24"/>
                <w:szCs w:val="24"/>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16"/>
                <w:sz w:val="24"/>
                <w:szCs w:val="24"/>
                <w14:textFill>
                  <w14:solidFill>
                    <w14:schemeClr w14:val="tx1"/>
                  </w14:solidFill>
                </w14:textFill>
              </w:rPr>
              <w:t>包含三个模块：基础模块（108学时）、职业模块（36学时）、拓展模块（36学时）</w:t>
            </w:r>
          </w:p>
        </w:tc>
        <w:tc>
          <w:tcPr>
            <w:tcW w:w="574" w:type="pct"/>
            <w:noWrap w:val="0"/>
            <w:vAlign w:val="center"/>
          </w:tcPr>
          <w:p w14:paraId="306C883C">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eastAsia" w:ascii="仿宋_GB2312" w:hAnsi="仿宋_GB2312" w:eastAsia="仿宋_GB2312" w:cs="仿宋_GB2312"/>
                <w:color w:val="000000" w:themeColor="text1"/>
                <w:spacing w:val="-16"/>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180</w:t>
            </w:r>
          </w:p>
        </w:tc>
      </w:tr>
      <w:tr w14:paraId="119E4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0" w:hRule="atLeast"/>
          <w:tblHeader/>
          <w:jc w:val="center"/>
        </w:trPr>
        <w:tc>
          <w:tcPr>
            <w:tcW w:w="278" w:type="pct"/>
            <w:noWrap w:val="0"/>
            <w:vAlign w:val="center"/>
          </w:tcPr>
          <w:p w14:paraId="4C7242DF">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4"/>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9</w:t>
            </w:r>
          </w:p>
        </w:tc>
        <w:tc>
          <w:tcPr>
            <w:tcW w:w="789" w:type="pct"/>
            <w:noWrap w:val="0"/>
            <w:vAlign w:val="center"/>
          </w:tcPr>
          <w:p w14:paraId="44DBCF29">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3"/>
                <w:kern w:val="2"/>
                <w:sz w:val="24"/>
                <w:szCs w:val="24"/>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4"/>
                <w:sz w:val="24"/>
                <w:szCs w:val="24"/>
                <w14:textFill>
                  <w14:solidFill>
                    <w14:schemeClr w14:val="tx1"/>
                  </w14:solidFill>
                </w14:textFill>
              </w:rPr>
              <w:t>数学</w:t>
            </w:r>
          </w:p>
        </w:tc>
        <w:tc>
          <w:tcPr>
            <w:tcW w:w="3357" w:type="pct"/>
            <w:noWrap w:val="0"/>
            <w:vAlign w:val="top"/>
          </w:tcPr>
          <w:p w14:paraId="563E6A92">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依据《中等职业学校数学课程标准》开设，对学生讲授集合、不等式、函数、数列等内容的教学，使学生掌握必要的数学基础</w:t>
            </w:r>
            <w:r>
              <w:rPr>
                <w:rFonts w:hint="eastAsia" w:ascii="仿宋_GB2312" w:hAnsi="仿宋_GB2312" w:eastAsia="仿宋_GB2312" w:cs="仿宋_GB2312"/>
                <w:color w:val="000000" w:themeColor="text1"/>
                <w:spacing w:val="-1"/>
                <w:sz w:val="24"/>
                <w:szCs w:val="24"/>
                <w:lang w:eastAsia="zh-CN"/>
                <w14:textFill>
                  <w14:solidFill>
                    <w14:schemeClr w14:val="tx1"/>
                  </w14:solidFill>
                </w14:textFill>
              </w:rPr>
              <w:t>，</w:t>
            </w:r>
            <w:r>
              <w:rPr>
                <w:rFonts w:hint="eastAsia" w:ascii="仿宋_GB2312" w:hAnsi="仿宋_GB2312" w:eastAsia="仿宋_GB2312" w:cs="仿宋_GB2312"/>
                <w:color w:val="000000" w:themeColor="text1"/>
                <w:spacing w:val="-1"/>
                <w:sz w:val="24"/>
                <w:szCs w:val="24"/>
                <w14:textFill>
                  <w14:solidFill>
                    <w14:schemeClr w14:val="tx1"/>
                  </w14:solidFill>
                </w14:textFill>
              </w:rPr>
              <w:t>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66FBC680">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0" w:firstLineChars="0"/>
              <w:textAlignment w:val="baseline"/>
              <w:rPr>
                <w:rFonts w:hint="eastAsia" w:ascii="仿宋_GB2312" w:hAnsi="仿宋_GB2312" w:eastAsia="仿宋_GB2312" w:cs="仿宋_GB2312"/>
                <w:color w:val="000000" w:themeColor="text1"/>
                <w:spacing w:val="-1"/>
                <w:kern w:val="2"/>
                <w:sz w:val="24"/>
                <w:szCs w:val="24"/>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1"/>
                <w:kern w:val="2"/>
                <w:sz w:val="24"/>
                <w:szCs w:val="24"/>
                <w:lang w:val="en-US" w:eastAsia="en-US" w:bidi="ar-SA"/>
                <w14:textFill>
                  <w14:solidFill>
                    <w14:schemeClr w14:val="tx1"/>
                  </w14:solidFill>
                </w14:textFill>
              </w:rPr>
              <w:t>包含两个模块：基础模块（108学时）、拓展模块（专题与案例，36学时）</w:t>
            </w:r>
          </w:p>
        </w:tc>
        <w:tc>
          <w:tcPr>
            <w:tcW w:w="574" w:type="pct"/>
            <w:noWrap w:val="0"/>
            <w:vAlign w:val="center"/>
          </w:tcPr>
          <w:p w14:paraId="39F7B332">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firstLine="0" w:firstLineChars="0"/>
              <w:jc w:val="center"/>
              <w:textAlignment w:val="baseline"/>
              <w:rPr>
                <w:rFonts w:hint="eastAsia" w:ascii="仿宋_GB2312" w:hAnsi="仿宋_GB2312" w:eastAsia="仿宋_GB2312" w:cs="仿宋_GB2312"/>
                <w:color w:val="000000" w:themeColor="text1"/>
                <w:spacing w:val="-1"/>
                <w:kern w:val="2"/>
                <w:sz w:val="24"/>
                <w:szCs w:val="24"/>
                <w:lang w:val="en-US" w:eastAsia="zh-CN" w:bidi="ar-SA"/>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144</w:t>
            </w:r>
          </w:p>
        </w:tc>
      </w:tr>
      <w:tr w14:paraId="7C555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5" w:hRule="atLeast"/>
          <w:tblHeader/>
          <w:jc w:val="center"/>
        </w:trPr>
        <w:tc>
          <w:tcPr>
            <w:tcW w:w="278" w:type="pct"/>
            <w:noWrap w:val="0"/>
            <w:vAlign w:val="center"/>
          </w:tcPr>
          <w:p w14:paraId="79827D65">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10</w:t>
            </w:r>
          </w:p>
        </w:tc>
        <w:tc>
          <w:tcPr>
            <w:tcW w:w="789" w:type="pct"/>
            <w:noWrap w:val="0"/>
            <w:vAlign w:val="center"/>
          </w:tcPr>
          <w:p w14:paraId="47BB401F">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3"/>
                <w:kern w:val="2"/>
                <w:sz w:val="24"/>
                <w:szCs w:val="24"/>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信息技术</w:t>
            </w:r>
          </w:p>
        </w:tc>
        <w:tc>
          <w:tcPr>
            <w:tcW w:w="3357" w:type="pct"/>
            <w:noWrap w:val="0"/>
            <w:vAlign w:val="top"/>
          </w:tcPr>
          <w:p w14:paraId="7DE6795C">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jc w:val="both"/>
              <w:textAlignment w:val="baseline"/>
              <w:rPr>
                <w:rFonts w:hint="eastAsia" w:ascii="仿宋_GB2312" w:hAnsi="仿宋_GB2312" w:eastAsia="仿宋_GB2312" w:cs="仿宋_GB2312"/>
                <w:color w:val="000000" w:themeColor="text1"/>
                <w:spacing w:val="-8"/>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信息技术课程标准》开设，对学生进行计算机基础知识、操作系统的使用、因特网应用、文字处理软件应用、电子表格处理软件应用、多媒体软件应用、演示文稿软件应用的计算机教学，使学生掌握必备的计算机应用基础知识和基本技能，提高学生计算机基本操作、办公应用、网络应用、多媒体技术应用等方面的技能，培养学生应用计算机解决工作与生活中实际问题的能力，使学生能够根据职业需求运用计算机，体验利用计算机技术获取信息、处理信息、分析信息、发布</w:t>
            </w:r>
            <w:r>
              <w:rPr>
                <w:rFonts w:hint="eastAsia" w:ascii="仿宋_GB2312" w:hAnsi="仿宋_GB2312" w:eastAsia="仿宋_GB2312" w:cs="仿宋_GB2312"/>
                <w:color w:val="000000" w:themeColor="text1"/>
                <w:spacing w:val="-8"/>
                <w:sz w:val="24"/>
                <w:szCs w:val="24"/>
                <w14:textFill>
                  <w14:solidFill>
                    <w14:schemeClr w14:val="tx1"/>
                  </w14:solidFill>
                </w14:textFill>
              </w:rPr>
              <w:t>信息的过程。</w:t>
            </w:r>
          </w:p>
          <w:p w14:paraId="0C42DD94">
            <w:pPr>
              <w:pStyle w:val="13"/>
              <w:keepNext w:val="0"/>
              <w:keepLines w:val="0"/>
              <w:pageBreakBefore w:val="0"/>
              <w:kinsoku/>
              <w:wordWrap/>
              <w:overflowPunct/>
              <w:topLinePunct w:val="0"/>
              <w:bidi w:val="0"/>
              <w:spacing w:line="560" w:lineRule="atLeast"/>
              <w:ind w:left="0" w:leftChars="0" w:right="0" w:rightChars="0" w:firstLine="0" w:firstLineChars="0"/>
              <w:jc w:val="both"/>
              <w:rPr>
                <w:rFonts w:hint="eastAsia" w:ascii="仿宋_GB2312" w:hAnsi="仿宋_GB2312" w:eastAsia="仿宋_GB2312" w:cs="仿宋_GB2312"/>
                <w:color w:val="000000" w:themeColor="text1"/>
                <w:spacing w:val="-8"/>
                <w:sz w:val="24"/>
                <w:szCs w:val="24"/>
                <w:lang w:val="en-US" w:eastAsia="en-US"/>
                <w14:textFill>
                  <w14:solidFill>
                    <w14:schemeClr w14:val="tx1"/>
                  </w14:solidFill>
                </w14:textFill>
              </w:rPr>
            </w:pPr>
            <w:r>
              <w:rPr>
                <w:rFonts w:hint="eastAsia" w:ascii="仿宋_GB2312" w:hAnsi="仿宋_GB2312" w:eastAsia="仿宋_GB2312" w:cs="仿宋_GB2312"/>
                <w:color w:val="000000" w:themeColor="text1"/>
                <w:spacing w:val="-8"/>
                <w:sz w:val="24"/>
                <w:szCs w:val="24"/>
                <w:lang w:val="en-US" w:eastAsia="en-US"/>
                <w14:textFill>
                  <w14:solidFill>
                    <w14:schemeClr w14:val="tx1"/>
                  </w14:solidFill>
                </w14:textFill>
              </w:rPr>
              <w:t>包含两个模块：基础模块（108学时）、拓展模块（36学时）</w:t>
            </w:r>
          </w:p>
        </w:tc>
        <w:tc>
          <w:tcPr>
            <w:tcW w:w="574" w:type="pct"/>
            <w:noWrap w:val="0"/>
            <w:vAlign w:val="center"/>
          </w:tcPr>
          <w:p w14:paraId="52B9930B">
            <w:pPr>
              <w:pStyle w:val="13"/>
              <w:keepNext w:val="0"/>
              <w:keepLines w:val="0"/>
              <w:pageBreakBefore w:val="0"/>
              <w:kinsoku/>
              <w:wordWrap/>
              <w:overflowPunct/>
              <w:topLinePunct w:val="0"/>
              <w:bidi w:val="0"/>
              <w:spacing w:line="560" w:lineRule="atLeast"/>
              <w:ind w:left="0" w:leftChars="0" w:right="0" w:rightChars="0" w:firstLine="0" w:firstLineChars="0"/>
              <w:jc w:val="center"/>
              <w:rPr>
                <w:rFonts w:hint="eastAsia" w:ascii="仿宋_GB2312" w:hAnsi="仿宋_GB2312" w:eastAsia="仿宋_GB2312" w:cs="仿宋_GB2312"/>
                <w:color w:val="000000" w:themeColor="text1"/>
                <w:spacing w:val="-8"/>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144</w:t>
            </w:r>
          </w:p>
        </w:tc>
      </w:tr>
      <w:tr w14:paraId="45CC7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5" w:hRule="atLeast"/>
          <w:tblHeader/>
          <w:jc w:val="center"/>
        </w:trPr>
        <w:tc>
          <w:tcPr>
            <w:tcW w:w="278" w:type="pct"/>
            <w:noWrap w:val="0"/>
            <w:vAlign w:val="center"/>
          </w:tcPr>
          <w:p w14:paraId="050294A9">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11</w:t>
            </w:r>
          </w:p>
        </w:tc>
        <w:tc>
          <w:tcPr>
            <w:tcW w:w="789" w:type="pct"/>
            <w:noWrap w:val="0"/>
            <w:vAlign w:val="center"/>
          </w:tcPr>
          <w:p w14:paraId="354006F8">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体育与健康</w:t>
            </w:r>
          </w:p>
        </w:tc>
        <w:tc>
          <w:tcPr>
            <w:tcW w:w="3357" w:type="pct"/>
            <w:noWrap w:val="0"/>
            <w:vAlign w:val="top"/>
          </w:tcPr>
          <w:p w14:paraId="20E60093">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炼的意识、能力与习惯，提高生活质量，为全面促进学生身体健康、心理健康和社会适应能力服务。</w:t>
            </w:r>
          </w:p>
          <w:p w14:paraId="6B0919CF">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包含两个模块：基础模块（54学时）、拓展模块（90学时，其中球类45学时、民间传统体育类45学时）</w:t>
            </w:r>
          </w:p>
        </w:tc>
        <w:tc>
          <w:tcPr>
            <w:tcW w:w="574" w:type="pct"/>
            <w:noWrap w:val="0"/>
            <w:vAlign w:val="center"/>
          </w:tcPr>
          <w:p w14:paraId="4D7EEBB5">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144</w:t>
            </w:r>
          </w:p>
        </w:tc>
      </w:tr>
      <w:tr w14:paraId="2244B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1CB1055A">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12</w:t>
            </w:r>
          </w:p>
        </w:tc>
        <w:tc>
          <w:tcPr>
            <w:tcW w:w="789" w:type="pct"/>
            <w:noWrap w:val="0"/>
            <w:vAlign w:val="center"/>
          </w:tcPr>
          <w:p w14:paraId="17B49D8E">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艺术</w:t>
            </w:r>
          </w:p>
        </w:tc>
        <w:tc>
          <w:tcPr>
            <w:tcW w:w="3357" w:type="pct"/>
            <w:noWrap w:val="0"/>
            <w:vAlign w:val="top"/>
          </w:tcPr>
          <w:p w14:paraId="5A05445E">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中等职业学校公共艺术课程标准》开设，以学生普遍具有一定认知基础、喜闻乐见的音乐和美术作为主要教学内容，使学生了解科学的音乐欣赏体系，欣赏优秀的音乐作品，为美妙的乐声所陶醉，感受着精神境界的升华；丰富音乐素养，提高审美情趣，从而培养高尚的情操和品格。学习不同美术类型（绘画、书法、雕塑、工艺、摄影等）的表现形式与发展演变进程，使学生了解美术的基础知识、技能与原理，熟悉基本审美特征，理解作品的思想情感与人文内涵，感受社会美、自然美和艺术美的统一，提高审美能力。</w:t>
            </w:r>
          </w:p>
          <w:p w14:paraId="0BD431D0">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包含两个模块：基础模块（音乐欣赏18学时、美术鉴赏18学时）、拓展模块（歌唱18学时、中国传统工艺18学时）</w:t>
            </w:r>
          </w:p>
        </w:tc>
        <w:tc>
          <w:tcPr>
            <w:tcW w:w="574" w:type="pct"/>
            <w:noWrap w:val="0"/>
            <w:vAlign w:val="center"/>
          </w:tcPr>
          <w:p w14:paraId="54FD9082">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72</w:t>
            </w:r>
          </w:p>
        </w:tc>
      </w:tr>
      <w:tr w14:paraId="7ABF2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BF1A47F">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13</w:t>
            </w:r>
          </w:p>
        </w:tc>
        <w:tc>
          <w:tcPr>
            <w:tcW w:w="789" w:type="pct"/>
            <w:noWrap w:val="0"/>
            <w:vAlign w:val="center"/>
          </w:tcPr>
          <w:p w14:paraId="3F3FDB89">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军事训练</w:t>
            </w:r>
          </w:p>
          <w:p w14:paraId="7B97B051">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和国防教育</w:t>
            </w:r>
          </w:p>
        </w:tc>
        <w:tc>
          <w:tcPr>
            <w:tcW w:w="3357" w:type="pct"/>
            <w:noWrap w:val="0"/>
            <w:vAlign w:val="top"/>
          </w:tcPr>
          <w:p w14:paraId="782BCD95">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依据《高级中学学生军事训练教学大纲》开设，该大纲适用于各类中等职业学校。通过接受国防教育、军事训练，掌握基本军事知识和技能，增强国防观念和国家安全意识，强化爱国主义、集体主义和革命英雄主义观念，加强组织性和纪律性，培养学生的行为习惯和艰苦奋斗的作风、促进学生综合素质的提高。</w:t>
            </w:r>
          </w:p>
        </w:tc>
        <w:tc>
          <w:tcPr>
            <w:tcW w:w="574" w:type="pct"/>
            <w:noWrap w:val="0"/>
            <w:vAlign w:val="center"/>
          </w:tcPr>
          <w:p w14:paraId="3AF523F9">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72</w:t>
            </w:r>
          </w:p>
        </w:tc>
      </w:tr>
      <w:tr w14:paraId="6B73E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CAD9B55">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14</w:t>
            </w:r>
          </w:p>
        </w:tc>
        <w:tc>
          <w:tcPr>
            <w:tcW w:w="789" w:type="pct"/>
            <w:noWrap w:val="0"/>
            <w:vAlign w:val="center"/>
          </w:tcPr>
          <w:p w14:paraId="05BB5679">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安全教育</w:t>
            </w:r>
          </w:p>
        </w:tc>
        <w:tc>
          <w:tcPr>
            <w:tcW w:w="3357" w:type="pct"/>
            <w:noWrap w:val="0"/>
            <w:vAlign w:val="top"/>
          </w:tcPr>
          <w:p w14:paraId="2554497B">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noWrap w:val="0"/>
            <w:vAlign w:val="center"/>
          </w:tcPr>
          <w:p w14:paraId="5FA9C954">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10</w:t>
            </w:r>
          </w:p>
        </w:tc>
      </w:tr>
      <w:tr w14:paraId="1248A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2DE5518">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15</w:t>
            </w:r>
          </w:p>
        </w:tc>
        <w:tc>
          <w:tcPr>
            <w:tcW w:w="789" w:type="pct"/>
            <w:noWrap w:val="0"/>
            <w:vAlign w:val="center"/>
          </w:tcPr>
          <w:p w14:paraId="43CC2640">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劳动教育</w:t>
            </w:r>
          </w:p>
        </w:tc>
        <w:tc>
          <w:tcPr>
            <w:tcW w:w="3357" w:type="pct"/>
            <w:noWrap w:val="0"/>
            <w:vAlign w:val="top"/>
          </w:tcPr>
          <w:p w14:paraId="3A84DD61">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通过劳动教育、生活劳动、农业种植劳动、生产劳动、志愿者服务劳动等，实践学时不小于总学时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noWrap w:val="0"/>
            <w:vAlign w:val="center"/>
          </w:tcPr>
          <w:p w14:paraId="74111CC5">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16</w:t>
            </w:r>
          </w:p>
        </w:tc>
      </w:tr>
      <w:tr w14:paraId="76697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542" w:type="dxa"/>
            <w:noWrap w:val="0"/>
            <w:vAlign w:val="center"/>
          </w:tcPr>
          <w:p w14:paraId="6CAC82AE">
            <w:pPr>
              <w:pStyle w:val="13"/>
              <w:keepNext w:val="0"/>
              <w:keepLines w:val="0"/>
              <w:pageBreakBefore w:val="0"/>
              <w:widowControl w:val="0"/>
              <w:kinsoku/>
              <w:wordWrap/>
              <w:overflowPunct/>
              <w:topLinePunct w:val="0"/>
              <w:bidi w:val="0"/>
              <w:spacing w:line="560" w:lineRule="atLeast"/>
              <w:ind w:left="0" w:leftChars="0" w:right="0" w:rightChars="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16</w:t>
            </w:r>
          </w:p>
        </w:tc>
        <w:tc>
          <w:tcPr>
            <w:tcW w:w="1539" w:type="dxa"/>
            <w:noWrap w:val="0"/>
            <w:vAlign w:val="center"/>
          </w:tcPr>
          <w:p w14:paraId="288EAE40">
            <w:pPr>
              <w:pStyle w:val="13"/>
              <w:keepNext w:val="0"/>
              <w:keepLines w:val="0"/>
              <w:pageBreakBefore w:val="0"/>
              <w:widowControl w:val="0"/>
              <w:kinsoku/>
              <w:wordWrap/>
              <w:overflowPunct/>
              <w:topLinePunct w:val="0"/>
              <w:bidi w:val="0"/>
              <w:spacing w:line="560" w:lineRule="atLeast"/>
              <w:ind w:left="0" w:leftChars="0" w:right="0" w:rightChars="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人工智能通识教育</w:t>
            </w:r>
          </w:p>
        </w:tc>
        <w:tc>
          <w:tcPr>
            <w:tcW w:w="6549" w:type="dxa"/>
            <w:noWrap w:val="0"/>
            <w:vAlign w:val="top"/>
          </w:tcPr>
          <w:p w14:paraId="4B0CD1B4">
            <w:pPr>
              <w:pStyle w:val="13"/>
              <w:keepNext w:val="0"/>
              <w:keepLines w:val="0"/>
              <w:pageBreakBefore w:val="0"/>
              <w:widowControl w:val="0"/>
              <w:kinsoku/>
              <w:wordWrap/>
              <w:overflowPunct/>
              <w:topLinePunct w:val="0"/>
              <w:autoSpaceDE/>
              <w:autoSpaceDN/>
              <w:bidi w:val="0"/>
              <w:adjustRightInd/>
              <w:snapToGrid/>
              <w:spacing w:line="560" w:lineRule="atLeast"/>
              <w:ind w:left="0" w:leftChars="0" w:right="0" w:rightChars="0" w:firstLine="452" w:firstLineChars="200"/>
              <w:textAlignment w:val="auto"/>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7"/>
                <w:sz w:val="24"/>
                <w:szCs w:val="24"/>
                <w:lang w:eastAsia="zh-CN"/>
                <w14:textFill>
                  <w14:solidFill>
                    <w14:schemeClr w14:val="tx1"/>
                  </w14:solidFill>
                </w14:textFill>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1120" w:type="dxa"/>
            <w:noWrap w:val="0"/>
            <w:vAlign w:val="center"/>
          </w:tcPr>
          <w:p w14:paraId="1F963794">
            <w:pPr>
              <w:pStyle w:val="13"/>
              <w:keepNext w:val="0"/>
              <w:keepLines w:val="0"/>
              <w:pageBreakBefore w:val="0"/>
              <w:widowControl w:val="0"/>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40</w:t>
            </w:r>
          </w:p>
        </w:tc>
      </w:tr>
      <w:bookmarkEnd w:id="16"/>
    </w:tbl>
    <w:p w14:paraId="368546A0">
      <w:pPr>
        <w:keepNext w:val="0"/>
        <w:keepLines w:val="0"/>
        <w:pageBreakBefore w:val="0"/>
        <w:wordWrap/>
        <w:overflowPunct/>
        <w:topLinePunct w:val="0"/>
        <w:bidi w:val="0"/>
        <w:spacing w:line="540" w:lineRule="exact"/>
        <w:ind w:left="0"/>
        <w:outlineLvl w:val="0"/>
        <w:rPr>
          <w:rFonts w:hint="eastAsia" w:ascii="仿宋_GB2312" w:hAnsi="仿宋_GB2312" w:eastAsia="仿宋_GB2312" w:cs="仿宋_GB2312"/>
          <w:b/>
          <w:bCs/>
          <w:color w:val="000000" w:themeColor="text1"/>
          <w:spacing w:val="5"/>
          <w:sz w:val="30"/>
          <w:szCs w:val="30"/>
          <w14:textFill>
            <w14:solidFill>
              <w14:schemeClr w14:val="tx1"/>
            </w14:solidFill>
          </w14:textFill>
        </w:rPr>
      </w:pPr>
    </w:p>
    <w:p w14:paraId="75AD977C">
      <w:pPr>
        <w:widowControl/>
        <w:kinsoku w:val="0"/>
        <w:autoSpaceDE w:val="0"/>
        <w:autoSpaceDN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17" w:name="_Toc15805"/>
      <w:r>
        <w:rPr>
          <w:rFonts w:hint="eastAsia" w:ascii="楷体_GB2312" w:hAnsi="楷体_GB2312" w:eastAsia="楷体_GB2312" w:cs="楷体_GB2312"/>
          <w:snapToGrid w:val="0"/>
          <w:color w:val="000000"/>
          <w:kern w:val="0"/>
          <w:sz w:val="28"/>
          <w:szCs w:val="28"/>
          <w:lang w:val="en-US" w:eastAsia="zh-CN"/>
        </w:rPr>
        <w:t>（三）专业课课程设置及要求</w:t>
      </w:r>
      <w:bookmarkEnd w:id="17"/>
    </w:p>
    <w:p w14:paraId="5D853E91">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1.专业基础课课程设置及要求</w:t>
      </w:r>
    </w:p>
    <w:tbl>
      <w:tblPr>
        <w:tblStyle w:val="14"/>
        <w:tblW w:w="501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96"/>
        <w:gridCol w:w="6878"/>
        <w:gridCol w:w="999"/>
      </w:tblGrid>
      <w:tr w14:paraId="674E4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970" w:type="pct"/>
            <w:vAlign w:val="center"/>
          </w:tcPr>
          <w:p w14:paraId="775BF236">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4"/>
                <w:sz w:val="24"/>
                <w:szCs w:val="24"/>
                <w14:textFill>
                  <w14:solidFill>
                    <w14:schemeClr w14:val="tx1"/>
                  </w14:solidFill>
                </w14:textFill>
              </w:rPr>
              <w:t>课程名称</w:t>
            </w:r>
          </w:p>
        </w:tc>
        <w:tc>
          <w:tcPr>
            <w:tcW w:w="3518" w:type="pct"/>
            <w:vAlign w:val="center"/>
          </w:tcPr>
          <w:p w14:paraId="06312CCF">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4"/>
                <w:sz w:val="24"/>
                <w:szCs w:val="24"/>
                <w14:textFill>
                  <w14:solidFill>
                    <w14:schemeClr w14:val="tx1"/>
                  </w14:solidFill>
                </w14:textFill>
              </w:rPr>
              <w:t>主要教学内容和要求</w:t>
            </w:r>
          </w:p>
        </w:tc>
        <w:tc>
          <w:tcPr>
            <w:tcW w:w="511" w:type="pct"/>
            <w:vAlign w:val="center"/>
          </w:tcPr>
          <w:p w14:paraId="2D7E9D56">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7"/>
                <w:sz w:val="24"/>
                <w:szCs w:val="24"/>
                <w14:textFill>
                  <w14:solidFill>
                    <w14:schemeClr w14:val="tx1"/>
                  </w14:solidFill>
                </w14:textFill>
              </w:rPr>
              <w:t>计划</w:t>
            </w:r>
          </w:p>
          <w:p w14:paraId="06BE941C">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pacing w:val="-9"/>
                <w:sz w:val="24"/>
                <w:szCs w:val="24"/>
                <w14:textFill>
                  <w14:solidFill>
                    <w14:schemeClr w14:val="tx1"/>
                  </w14:solidFill>
                </w14:textFill>
              </w:rPr>
              <w:t>学时</w:t>
            </w:r>
          </w:p>
        </w:tc>
      </w:tr>
      <w:tr w14:paraId="24A6F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9" w:hRule="atLeast"/>
          <w:jc w:val="center"/>
        </w:trPr>
        <w:tc>
          <w:tcPr>
            <w:tcW w:w="970" w:type="pct"/>
            <w:vAlign w:val="center"/>
          </w:tcPr>
          <w:p w14:paraId="31D38B8B">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en-US"/>
                <w14:textFill>
                  <w14:solidFill>
                    <w14:schemeClr w14:val="tx1"/>
                  </w14:solidFill>
                </w14:textFill>
              </w:rPr>
              <w:t>食品原料知识</w:t>
            </w:r>
          </w:p>
        </w:tc>
        <w:tc>
          <w:tcPr>
            <w:tcW w:w="3518" w:type="pct"/>
            <w:vAlign w:val="center"/>
          </w:tcPr>
          <w:p w14:paraId="42A83172">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通过讲授，使学生熟练掌握常用原料的名称、产地、上市季节、品质、营养价值、用途及主要原料的检验、贮存和保管方法，并具备发现和使用烹饪新型原料的能力。</w:t>
            </w:r>
          </w:p>
        </w:tc>
        <w:tc>
          <w:tcPr>
            <w:tcW w:w="511" w:type="pct"/>
            <w:vAlign w:val="center"/>
          </w:tcPr>
          <w:p w14:paraId="5164BB29">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36</w:t>
            </w:r>
          </w:p>
        </w:tc>
      </w:tr>
      <w:tr w14:paraId="1CB92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jc w:val="center"/>
        </w:trPr>
        <w:tc>
          <w:tcPr>
            <w:tcW w:w="970" w:type="pct"/>
            <w:vAlign w:val="center"/>
          </w:tcPr>
          <w:p w14:paraId="02C2692B">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食品安全</w:t>
            </w:r>
          </w:p>
          <w:p w14:paraId="3BBCDABF">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与法规</w:t>
            </w:r>
          </w:p>
        </w:tc>
        <w:tc>
          <w:tcPr>
            <w:tcW w:w="3518" w:type="pct"/>
            <w:vAlign w:val="center"/>
          </w:tcPr>
          <w:p w14:paraId="0F571CAE">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通过讲授，使学生能正确理解标准与法规的定义、范围；了解标准与法规间的关系以及与质量管理体系等的关系；掌握标准与法规的作用与意义（食品质量与安全，食品监督管理，国内外贸易等）；掌握标准与法规的主要内容；了解标准与法规的发展趋势；并能综合运用于对实际问题的分析。</w:t>
            </w:r>
          </w:p>
        </w:tc>
        <w:tc>
          <w:tcPr>
            <w:tcW w:w="511" w:type="pct"/>
            <w:vAlign w:val="center"/>
          </w:tcPr>
          <w:p w14:paraId="4CB308A3">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r w14:paraId="36B0B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1896" w:type="dxa"/>
            <w:vAlign w:val="center"/>
          </w:tcPr>
          <w:p w14:paraId="490B8B7D">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餐饮成本核算</w:t>
            </w:r>
          </w:p>
        </w:tc>
        <w:tc>
          <w:tcPr>
            <w:tcW w:w="6878" w:type="dxa"/>
            <w:vAlign w:val="center"/>
          </w:tcPr>
          <w:p w14:paraId="431D5951">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结合餐饮专业特殊，使学生了解必要的厨房核算基础，掌握餐饮专业计算技能、学会厨房核算基础，采购，出货，进货，毛利润，净利润核算公式及方法。</w:t>
            </w:r>
          </w:p>
        </w:tc>
        <w:tc>
          <w:tcPr>
            <w:tcW w:w="999" w:type="dxa"/>
            <w:vAlign w:val="center"/>
          </w:tcPr>
          <w:p w14:paraId="05D2BA2C">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36</w:t>
            </w:r>
          </w:p>
        </w:tc>
      </w:tr>
      <w:tr w14:paraId="62339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5" w:hRule="atLeast"/>
          <w:jc w:val="center"/>
        </w:trPr>
        <w:tc>
          <w:tcPr>
            <w:tcW w:w="970" w:type="pct"/>
            <w:vAlign w:val="center"/>
          </w:tcPr>
          <w:p w14:paraId="2ABA066B">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饮食营养</w:t>
            </w:r>
          </w:p>
          <w:p w14:paraId="08E49E9F">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与卫生</w:t>
            </w:r>
          </w:p>
        </w:tc>
        <w:tc>
          <w:tcPr>
            <w:tcW w:w="3518" w:type="pct"/>
            <w:vAlign w:val="center"/>
          </w:tcPr>
          <w:p w14:paraId="7CC0965D">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通过讲授，使学生熟悉烹饪营养与卫生的基础知识；基本掌握食物的各种营养素及其对人体的作用；重点掌握科学烹调的意义和从事烹饪工作所必需掌握的卫生知识；懂得食品卫生法。</w:t>
            </w:r>
          </w:p>
        </w:tc>
        <w:tc>
          <w:tcPr>
            <w:tcW w:w="511" w:type="pct"/>
            <w:vAlign w:val="center"/>
          </w:tcPr>
          <w:p w14:paraId="118F9FF8">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36</w:t>
            </w:r>
          </w:p>
        </w:tc>
      </w:tr>
      <w:tr w14:paraId="5E70C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970" w:type="pct"/>
            <w:vAlign w:val="center"/>
          </w:tcPr>
          <w:p w14:paraId="229C4DD8">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p>
          <w:p w14:paraId="56B28ED0">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美术造型基础</w:t>
            </w:r>
          </w:p>
        </w:tc>
        <w:tc>
          <w:tcPr>
            <w:tcW w:w="3518" w:type="pct"/>
            <w:vAlign w:val="center"/>
          </w:tcPr>
          <w:p w14:paraId="5459E853">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课程以轻黏土为主要教学材料，系统教授学生美术造型与色彩的基础知识，使学生掌握基本的造型技巧和色彩搭配方法，并能将所学知识应用于面点设计与装饰中，提升学生的艺术表现力和创意能力。</w:t>
            </w:r>
          </w:p>
          <w:p w14:paraId="63C57D14">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第一学期教学内容为果蔬、花卉造型练习和调色训练，蔬果造型有苹果、梨、香蕉、葡萄、火龙果、柿子、白菜、黄瓜、蘑菇等（含表面纹理），花卉造型有玫瑰、荷花、莲蓬、荷叶、桃花、桂花、雏菊（含花心向花瓣呈现的色彩过渡），让学生了解并掌握造型技巧和色彩基础。</w:t>
            </w:r>
          </w:p>
          <w:p w14:paraId="17767B0E">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第二学期教学内容为动物、中国传统造型练习和调色训练，动物造型有鸟、马、猫、鸡、兔、猪等（含形态、动作），中国传统造型有醒狮、龙、绣球、元宵灯、纸鸢、锦鲤（含装饰纹样与中式传统色），让学生了解并掌握造型技巧和调色技巧。</w:t>
            </w:r>
          </w:p>
          <w:p w14:paraId="2AC52346">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第三学期教学内容为广西少数民族人物造型、中西式面点造型模拟练习和调色训练，广西少数民族人物造型有壮族、侗族、苗族等（含各民族相应的传统服饰，分男女款），中式面点造型有饺子、花卷、寿桃、月饼、各类花酥等（含装饰纹样与色彩），西式面点造型有马卡龙、裱花蛋糕、纸杯蛋糕装饰、牛角包（含细节表现、裱花效果）让学生了解并掌握造型技巧，提升色彩表现力。</w:t>
            </w:r>
          </w:p>
          <w:p w14:paraId="52F174D2">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t>第四学期教学内容为轻黏土造型创意设计，根据主题将美术知识应用于轻黏土造型与面点设计中，让学生进一步掌握造型技巧和色彩搭配，并能运用在实际面点制作中。</w:t>
            </w:r>
          </w:p>
        </w:tc>
        <w:tc>
          <w:tcPr>
            <w:tcW w:w="511" w:type="pct"/>
            <w:vAlign w:val="center"/>
          </w:tcPr>
          <w:p w14:paraId="61A36DFF">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480</w:t>
            </w:r>
          </w:p>
        </w:tc>
      </w:tr>
      <w:tr w14:paraId="533A0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0" w:hRule="atLeast"/>
          <w:jc w:val="center"/>
        </w:trPr>
        <w:tc>
          <w:tcPr>
            <w:tcW w:w="970" w:type="pct"/>
            <w:vAlign w:val="center"/>
          </w:tcPr>
          <w:p w14:paraId="780AB5FD">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旅游概论</w:t>
            </w:r>
          </w:p>
        </w:tc>
        <w:tc>
          <w:tcPr>
            <w:tcW w:w="3518" w:type="pct"/>
            <w:vAlign w:val="center"/>
          </w:tcPr>
          <w:p w14:paraId="370C6D44">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本课程围绕旅游基础理论展开教学，分为六大模块。先讲解旅游定义、属性、发展历史与各类旅游组织；再剖析旅游者、旅游资源、旅游业三大核心要素；接着介绍旅行社、交通、饭店、景区等旅游业构成板块，兼顾旅游商品与娱乐相关知识；随后讲解旅游市场划分、客流规律与国内外市场特征；最后分析国内外旅游业发展趋势，重点讲解生态旅游与旅游可持续发展。学习分层要求清晰，基础概念了解识记，核心原理理解吃透，分类、规律、实操标准、发展举措等重难点内容需熟练掌握并灵活运用。</w:t>
            </w:r>
          </w:p>
        </w:tc>
        <w:tc>
          <w:tcPr>
            <w:tcW w:w="511" w:type="pct"/>
            <w:vAlign w:val="center"/>
          </w:tcPr>
          <w:p w14:paraId="04AEA416">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r w14:paraId="1C527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4" w:hRule="atLeast"/>
          <w:jc w:val="center"/>
        </w:trPr>
        <w:tc>
          <w:tcPr>
            <w:tcW w:w="1896" w:type="dxa"/>
            <w:vAlign w:val="center"/>
          </w:tcPr>
          <w:p w14:paraId="381CD052">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服务礼仪</w:t>
            </w:r>
          </w:p>
        </w:tc>
        <w:tc>
          <w:tcPr>
            <w:tcW w:w="6878" w:type="dxa"/>
            <w:vAlign w:val="center"/>
          </w:tcPr>
          <w:p w14:paraId="7CD89D7F">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本课程分为礼仪基础、个人形象、社交礼仪、行业服务礼仪四大模块。先讲解礼仪基础概念、起源、功能与原则；再学习仪容、仪表、仪态规范，能独立塑造专业职业形象；掌握称谓、握手、交谈等社交礼仪用语与禁忌，了解国际交往通用礼仪。重点熟悉饭店、旅行社、景区各岗位标准，熟练掌握前厅、客房、导游、导购等全流程服务礼仪规范。学习分层落实：基础常识了解识记，实操规范熟练掌握，可灵活运用礼仪知识完成旅游服务场景实操</w:t>
            </w:r>
          </w:p>
        </w:tc>
        <w:tc>
          <w:tcPr>
            <w:tcW w:w="999" w:type="dxa"/>
            <w:vAlign w:val="center"/>
          </w:tcPr>
          <w:p w14:paraId="233F204A">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r w14:paraId="59232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8" w:hRule="atLeast"/>
          <w:jc w:val="center"/>
        </w:trPr>
        <w:tc>
          <w:tcPr>
            <w:tcW w:w="970" w:type="pct"/>
            <w:vAlign w:val="center"/>
          </w:tcPr>
          <w:p w14:paraId="32BEC91E">
            <w:pPr>
              <w:pStyle w:val="13"/>
              <w:keepNext w:val="0"/>
              <w:keepLines w:val="0"/>
              <w:pageBreakBefore w:val="0"/>
              <w:kinsoku/>
              <w:wordWrap/>
              <w:overflowPunct/>
              <w:topLinePunct w:val="0"/>
              <w:bidi w:val="0"/>
              <w:spacing w:line="560" w:lineRule="atLeast"/>
              <w:ind w:left="0" w:right="0" w:firstLine="0" w:firstLineChars="0"/>
              <w:jc w:val="cente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管理学</w:t>
            </w:r>
          </w:p>
        </w:tc>
        <w:tc>
          <w:tcPr>
            <w:tcW w:w="3518" w:type="pct"/>
            <w:vAlign w:val="center"/>
          </w:tcPr>
          <w:p w14:paraId="7BB10177">
            <w:pPr>
              <w:pStyle w:val="13"/>
              <w:keepNext w:val="0"/>
              <w:keepLines w:val="0"/>
              <w:pageBreakBefore w:val="0"/>
              <w:widowControl w:val="0"/>
              <w:kinsoku/>
              <w:wordWrap/>
              <w:overflowPunct/>
              <w:topLinePunct w:val="0"/>
              <w:autoSpaceDE/>
              <w:autoSpaceDN/>
              <w:bidi w:val="0"/>
              <w:adjustRightInd/>
              <w:snapToGrid/>
              <w:spacing w:line="560" w:lineRule="atLeast"/>
              <w:ind w:left="0" w:right="0" w:firstLine="460" w:firstLineChars="200"/>
              <w:jc w:val="left"/>
              <w:textAlignment w:val="auto"/>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spacing w:val="-5"/>
                <w:sz w:val="24"/>
                <w:szCs w:val="24"/>
                <w:lang w:val="en-US" w:eastAsia="zh-CN"/>
                <w14:textFill>
                  <w14:solidFill>
                    <w14:schemeClr w14:val="tx1"/>
                  </w14:solidFill>
                </w14:textFill>
              </w:rPr>
              <w:t>本课程围绕管理基础、管理理论、五大核心职能展开教学。先讲解管理者相关基础，梳理中外管理思想发展脉络，理解经典管理理论。系统学习计划、组织、领导、控制、激励、沟通六大职能：了解基础概念，理解各类管理原则、理论模型；重点掌握决策流程、计划编制、组织结构类型、领导模型、管控流程、激励手段与高效沟通技巧。学习分层要求明确，基础史实与概念仅需了解，核心管理理论需理解吃透，实操方法、分析模型等重难点内容必须熟练掌握并能灵活应用。</w:t>
            </w:r>
          </w:p>
        </w:tc>
        <w:tc>
          <w:tcPr>
            <w:tcW w:w="511" w:type="pct"/>
            <w:vAlign w:val="center"/>
          </w:tcPr>
          <w:p w14:paraId="595C855C">
            <w:pPr>
              <w:pStyle w:val="13"/>
              <w:keepNext w:val="0"/>
              <w:keepLines w:val="0"/>
              <w:pageBreakBefore w:val="0"/>
              <w:kinsoku/>
              <w:wordWrap/>
              <w:overflowPunct/>
              <w:topLinePunct w:val="0"/>
              <w:bidi w:val="0"/>
              <w:spacing w:line="560" w:lineRule="atLeast"/>
              <w:ind w:left="0" w:right="0" w:firstLine="0" w:firstLineChars="0"/>
              <w:jc w:val="center"/>
              <w:rPr>
                <w:rFonts w:hint="default" w:ascii="仿宋_GB2312" w:hAnsi="仿宋_GB2312" w:eastAsia="仿宋_GB2312" w:cs="仿宋_GB2312"/>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bl>
    <w:p w14:paraId="227C5D49">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2.专业核心课程设置及要求</w:t>
      </w:r>
    </w:p>
    <w:tbl>
      <w:tblPr>
        <w:tblStyle w:val="14"/>
        <w:tblW w:w="50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93"/>
        <w:gridCol w:w="6886"/>
        <w:gridCol w:w="998"/>
      </w:tblGrid>
      <w:tr w14:paraId="0CD81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jc w:val="center"/>
        </w:trPr>
        <w:tc>
          <w:tcPr>
            <w:tcW w:w="968" w:type="pct"/>
            <w:vAlign w:val="center"/>
          </w:tcPr>
          <w:p w14:paraId="61611417">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2"/>
                <w:sz w:val="24"/>
                <w:szCs w:val="24"/>
                <w14:textFill>
                  <w14:solidFill>
                    <w14:schemeClr w14:val="tx1"/>
                  </w14:solidFill>
                </w14:textFill>
              </w:rPr>
              <w:t>课程名称</w:t>
            </w:r>
          </w:p>
        </w:tc>
        <w:tc>
          <w:tcPr>
            <w:tcW w:w="3520" w:type="pct"/>
            <w:vAlign w:val="center"/>
          </w:tcPr>
          <w:p w14:paraId="5B9BD939">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2"/>
                <w:sz w:val="24"/>
                <w:szCs w:val="24"/>
                <w14:textFill>
                  <w14:solidFill>
                    <w14:schemeClr w14:val="tx1"/>
                  </w14:solidFill>
                </w14:textFill>
              </w:rPr>
              <w:t>主要教学内容和要求</w:t>
            </w:r>
          </w:p>
        </w:tc>
        <w:tc>
          <w:tcPr>
            <w:tcW w:w="510" w:type="pct"/>
            <w:vAlign w:val="center"/>
          </w:tcPr>
          <w:p w14:paraId="758ED791">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8"/>
                <w:sz w:val="24"/>
                <w:szCs w:val="24"/>
                <w14:textFill>
                  <w14:solidFill>
                    <w14:schemeClr w14:val="tx1"/>
                  </w14:solidFill>
                </w14:textFill>
              </w:rPr>
              <w:t>计划</w:t>
            </w:r>
            <w:r>
              <w:rPr>
                <w:rFonts w:hint="default" w:ascii="Times New Roman" w:hAnsi="Times New Roman" w:cs="Times New Roman"/>
                <w:b/>
                <w:bCs/>
                <w:color w:val="000000" w:themeColor="text1"/>
                <w:spacing w:val="-12"/>
                <w:sz w:val="24"/>
                <w:szCs w:val="24"/>
                <w14:textFill>
                  <w14:solidFill>
                    <w14:schemeClr w14:val="tx1"/>
                  </w14:solidFill>
                </w14:textFill>
              </w:rPr>
              <w:t>学时</w:t>
            </w:r>
          </w:p>
        </w:tc>
      </w:tr>
      <w:tr w14:paraId="2C30B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2" w:hRule="atLeast"/>
          <w:jc w:val="center"/>
        </w:trPr>
        <w:tc>
          <w:tcPr>
            <w:tcW w:w="968" w:type="pct"/>
            <w:vAlign w:val="top"/>
          </w:tcPr>
          <w:p w14:paraId="073C12AF">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745A1AE5">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5B69ECB9">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1F7510CC">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pacing w:val="-6"/>
                <w:sz w:val="24"/>
                <w:szCs w:val="24"/>
                <w14:textFill>
                  <w14:solidFill>
                    <w14:schemeClr w14:val="tx1"/>
                  </w14:solidFill>
                </w14:textFill>
              </w:rPr>
              <w:t>中式面点</w:t>
            </w:r>
            <w:r>
              <w:rPr>
                <w:rFonts w:hint="eastAsia" w:ascii="Times New Roman" w:hAnsi="Times New Roman" w:cs="Times New Roman"/>
                <w:color w:val="000000" w:themeColor="text1"/>
                <w:spacing w:val="-6"/>
                <w:sz w:val="24"/>
                <w:szCs w:val="24"/>
                <w:lang w:val="en-US" w:eastAsia="zh-CN"/>
                <w14:textFill>
                  <w14:solidFill>
                    <w14:schemeClr w14:val="tx1"/>
                  </w14:solidFill>
                </w14:textFill>
              </w:rPr>
              <w:t>制作</w:t>
            </w:r>
          </w:p>
        </w:tc>
        <w:tc>
          <w:tcPr>
            <w:tcW w:w="3520" w:type="pct"/>
            <w:vAlign w:val="top"/>
          </w:tcPr>
          <w:p w14:paraId="71AF5B2C">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仿宋_GB2312" w:hAnsi="仿宋_GB2312" w:eastAsia="仿宋_GB2312" w:cs="仿宋_GB2312"/>
                <w:color w:val="000000" w:themeColor="text1"/>
                <w:spacing w:val="-1"/>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第二学期教学内容为基本功学习熟练5种面团和馅心的制法，掌握制坯、成型、烹制等基础技法，能独立制作一些寻常面点品种。</w:t>
            </w:r>
          </w:p>
          <w:p w14:paraId="2BE8083E">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仿宋_GB2312" w:hAnsi="仿宋_GB2312" w:eastAsia="仿宋_GB2312" w:cs="仿宋_GB2312"/>
                <w:color w:val="000000" w:themeColor="text1"/>
                <w:spacing w:val="-1"/>
                <w:sz w:val="24"/>
                <w:szCs w:val="24"/>
                <w:lang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第三学期教学内容为职业资格证考证</w:t>
            </w:r>
            <w:r>
              <w:rPr>
                <w:rFonts w:hint="eastAsia" w:ascii="仿宋_GB2312" w:hAnsi="仿宋_GB2312" w:eastAsia="仿宋_GB2312" w:cs="仿宋_GB2312"/>
                <w:color w:val="000000" w:themeColor="text1"/>
                <w:spacing w:val="-1"/>
                <w:sz w:val="24"/>
                <w:szCs w:val="24"/>
                <w:lang w:eastAsia="zh-CN"/>
                <w14:textFill>
                  <w14:solidFill>
                    <w14:schemeClr w14:val="tx1"/>
                  </w14:solidFill>
                </w14:textFill>
              </w:rPr>
              <w:t>，</w:t>
            </w:r>
            <w:r>
              <w:rPr>
                <w:rFonts w:hint="default" w:ascii="仿宋_GB2312" w:hAnsi="仿宋_GB2312" w:eastAsia="仿宋_GB2312" w:cs="仿宋_GB2312"/>
                <w:color w:val="000000" w:themeColor="text1"/>
                <w:spacing w:val="-1"/>
                <w:sz w:val="24"/>
                <w:szCs w:val="24"/>
                <w14:textFill>
                  <w14:solidFill>
                    <w14:schemeClr w14:val="tx1"/>
                  </w14:solidFill>
                </w14:textFill>
              </w:rPr>
              <w:t>将教育部、人社部职业技能等级证书制度落到实处</w:t>
            </w:r>
            <w:r>
              <w:rPr>
                <w:rFonts w:hint="default" w:ascii="仿宋_GB2312" w:hAnsi="仿宋_GB2312" w:eastAsia="仿宋_GB2312" w:cs="仿宋_GB2312"/>
                <w:color w:val="000000" w:themeColor="text1"/>
                <w:spacing w:val="-1"/>
                <w:sz w:val="24"/>
                <w:szCs w:val="24"/>
                <w:lang w:eastAsia="zh-CN"/>
                <w14:textFill>
                  <w14:solidFill>
                    <w14:schemeClr w14:val="tx1"/>
                  </w14:solidFill>
                </w14:textFill>
              </w:rPr>
              <w:t>。</w:t>
            </w:r>
          </w:p>
          <w:p w14:paraId="7B3C9E17">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第四学期教学内容为广式早茶品种、中式烤点制作等，为即将毕业学生进行岗前预培训。</w:t>
            </w:r>
          </w:p>
        </w:tc>
        <w:tc>
          <w:tcPr>
            <w:tcW w:w="510" w:type="pct"/>
            <w:vAlign w:val="center"/>
          </w:tcPr>
          <w:p w14:paraId="0130C7AB">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216</w:t>
            </w:r>
          </w:p>
        </w:tc>
      </w:tr>
      <w:tr w14:paraId="164DD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4" w:hRule="atLeast"/>
          <w:jc w:val="center"/>
        </w:trPr>
        <w:tc>
          <w:tcPr>
            <w:tcW w:w="968" w:type="pct"/>
            <w:vAlign w:val="top"/>
          </w:tcPr>
          <w:p w14:paraId="5F3A0B36">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056D825E">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6194769B">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44369C04">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6481883A">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kern w:val="0"/>
                <w:sz w:val="24"/>
                <w:szCs w:val="24"/>
                <w14:textFill>
                  <w14:solidFill>
                    <w14:schemeClr w14:val="tx1"/>
                  </w14:solidFill>
                </w14:textFill>
              </w:rPr>
              <w:t>西</w:t>
            </w:r>
            <w:r>
              <w:rPr>
                <w:rFonts w:hint="eastAsia" w:ascii="Times New Roman" w:hAnsi="Times New Roman" w:cs="Times New Roman"/>
                <w:b w:val="0"/>
                <w:bCs w:val="0"/>
                <w:color w:val="000000" w:themeColor="text1"/>
                <w:kern w:val="0"/>
                <w:sz w:val="24"/>
                <w:szCs w:val="24"/>
                <w:lang w:val="en-US" w:eastAsia="zh-CN"/>
                <w14:textFill>
                  <w14:solidFill>
                    <w14:schemeClr w14:val="tx1"/>
                  </w14:solidFill>
                </w14:textFill>
              </w:rPr>
              <w:t>式面点制作</w:t>
            </w:r>
          </w:p>
        </w:tc>
        <w:tc>
          <w:tcPr>
            <w:tcW w:w="3520" w:type="pct"/>
            <w:vAlign w:val="top"/>
          </w:tcPr>
          <w:p w14:paraId="2C2A413D">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仿宋_GB2312" w:hAnsi="仿宋_GB2312" w:eastAsia="仿宋_GB2312" w:cs="仿宋_GB2312"/>
                <w:color w:val="000000" w:themeColor="text1"/>
                <w:spacing w:val="-1"/>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w:t>
            </w: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一</w:t>
            </w:r>
            <w:r>
              <w:rPr>
                <w:rFonts w:hint="default" w:ascii="仿宋_GB2312" w:hAnsi="仿宋_GB2312" w:eastAsia="仿宋_GB2312" w:cs="仿宋_GB2312"/>
                <w:color w:val="000000" w:themeColor="text1"/>
                <w:spacing w:val="-1"/>
                <w:sz w:val="24"/>
                <w:szCs w:val="24"/>
                <w14:textFill>
                  <w14:solidFill>
                    <w14:schemeClr w14:val="tx1"/>
                  </w14:solidFill>
                </w14:textFill>
              </w:rPr>
              <w:t>学期通过对西饼制作理论和工艺实践的教学，系统的基本理论，让学生了解基本知识和基本技能，使学生熟练掌握西</w:t>
            </w: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饼</w:t>
            </w:r>
            <w:r>
              <w:rPr>
                <w:rFonts w:hint="default" w:ascii="仿宋_GB2312" w:hAnsi="仿宋_GB2312" w:eastAsia="仿宋_GB2312" w:cs="仿宋_GB2312"/>
                <w:color w:val="000000" w:themeColor="text1"/>
                <w:spacing w:val="-1"/>
                <w:sz w:val="24"/>
                <w:szCs w:val="24"/>
                <w14:textFill>
                  <w14:solidFill>
                    <w14:schemeClr w14:val="tx1"/>
                  </w14:solidFill>
                </w14:textFill>
              </w:rPr>
              <w:t>的基础制作技艺。</w:t>
            </w:r>
          </w:p>
          <w:p w14:paraId="210EF69F">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仿宋_GB2312" w:hAnsi="仿宋_GB2312" w:eastAsia="仿宋_GB2312" w:cs="仿宋_GB2312"/>
                <w:color w:val="000000" w:themeColor="text1"/>
                <w:spacing w:val="-1"/>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第三学期教学内容为面包烘焙工艺；能够独立制作一些简单并不复杂的基础面包。</w:t>
            </w:r>
          </w:p>
          <w:p w14:paraId="5714B8E0">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Times New Roman" w:hAnsi="Times New Roman" w:eastAsia="FangSong_GB2312" w:cs="Times New Roman"/>
                <w:color w:val="000000" w:themeColor="text1"/>
                <w:sz w:val="24"/>
                <w:szCs w:val="24"/>
                <w:lang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第四学期教学内容为西点综合性课程，以份装小点、酒店西式盘式餐点为主。</w:t>
            </w:r>
          </w:p>
        </w:tc>
        <w:tc>
          <w:tcPr>
            <w:tcW w:w="510" w:type="pct"/>
            <w:vAlign w:val="center"/>
          </w:tcPr>
          <w:p w14:paraId="187F32A3">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144</w:t>
            </w:r>
          </w:p>
        </w:tc>
      </w:tr>
      <w:tr w14:paraId="5BB25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5" w:hRule="atLeast"/>
          <w:jc w:val="center"/>
        </w:trPr>
        <w:tc>
          <w:tcPr>
            <w:tcW w:w="968" w:type="pct"/>
            <w:vAlign w:val="top"/>
          </w:tcPr>
          <w:p w14:paraId="5D627374">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79113A7D">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0F3C8A2A">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pacing w:val="-2"/>
                <w:sz w:val="24"/>
                <w:szCs w:val="24"/>
                <w14:textFill>
                  <w14:solidFill>
                    <w14:schemeClr w14:val="tx1"/>
                  </w14:solidFill>
                </w14:textFill>
              </w:rPr>
            </w:pPr>
          </w:p>
          <w:p w14:paraId="62DB6619">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pacing w:val="-2"/>
                <w:sz w:val="24"/>
                <w:szCs w:val="24"/>
                <w14:textFill>
                  <w14:solidFill>
                    <w14:schemeClr w14:val="tx1"/>
                  </w14:solidFill>
                </w14:textFill>
              </w:rPr>
            </w:pPr>
          </w:p>
          <w:p w14:paraId="28710B01">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pacing w:val="-2"/>
                <w:sz w:val="24"/>
                <w:szCs w:val="24"/>
                <w14:textFill>
                  <w14:solidFill>
                    <w14:schemeClr w14:val="tx1"/>
                  </w14:solidFill>
                </w14:textFill>
              </w:rPr>
              <w:t>蛋糕制作</w:t>
            </w:r>
            <w:r>
              <w:rPr>
                <w:rFonts w:hint="default" w:ascii="Times New Roman" w:hAnsi="Times New Roman" w:cs="Times New Roman"/>
                <w:color w:val="000000" w:themeColor="text1"/>
                <w:spacing w:val="-2"/>
                <w:sz w:val="24"/>
                <w:szCs w:val="24"/>
                <w:lang w:val="en-US" w:eastAsia="zh-CN"/>
                <w14:textFill>
                  <w14:solidFill>
                    <w14:schemeClr w14:val="tx1"/>
                  </w14:solidFill>
                </w14:textFill>
              </w:rPr>
              <w:t>工艺</w:t>
            </w:r>
          </w:p>
        </w:tc>
        <w:tc>
          <w:tcPr>
            <w:tcW w:w="3520" w:type="pct"/>
            <w:vAlign w:val="top"/>
          </w:tcPr>
          <w:p w14:paraId="34DF7D49">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仿宋_GB2312" w:hAnsi="仿宋_GB2312" w:eastAsia="仿宋_GB2312" w:cs="仿宋_GB2312"/>
                <w:color w:val="000000" w:themeColor="text1"/>
                <w:spacing w:val="-1"/>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第一学期通过学习3种蛋糕糊的理论知识；掌握3种蛋糕类型的制作程序和要领、技巧，能独立制作出生日蛋糕坯及不少于8款常温花式蛋糕。</w:t>
            </w:r>
          </w:p>
          <w:p w14:paraId="6208AAC2">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仿宋_GB2312" w:hAnsi="仿宋_GB2312" w:eastAsia="仿宋_GB2312" w:cs="仿宋_GB2312"/>
                <w:color w:val="000000" w:themeColor="text1"/>
                <w:spacing w:val="-1"/>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二学期通过裱花理论和工艺实践的教学，系统的传授裱花基本理论知识和基本技能，使学生熟练掌握不少于5种常用裱花的手法与技巧及蛋糕装饰的相关基础理论知识。熟悉掌握装饰蛋糕的基本类型及制作方法。</w:t>
            </w:r>
          </w:p>
          <w:p w14:paraId="19D15E22">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Times New Roman" w:hAnsi="Times New Roman" w:cs="Times New Roman"/>
                <w:color w:val="000000" w:themeColor="text1"/>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第三学期通过糕点装饰的相关基础理论知识。熟悉掌握蛋糕装饰的基本原料;学会蛋糕装饰类型的制作方法</w:t>
            </w:r>
            <w:r>
              <w:rPr>
                <w:rFonts w:hint="default" w:ascii="仿宋_GB2312" w:hAnsi="仿宋_GB2312" w:eastAsia="仿宋_GB2312" w:cs="仿宋_GB2312"/>
                <w:color w:val="000000" w:themeColor="text1"/>
                <w:spacing w:val="-1"/>
                <w:sz w:val="24"/>
                <w:szCs w:val="24"/>
                <w:lang w:eastAsia="zh-CN"/>
                <w14:textFill>
                  <w14:solidFill>
                    <w14:schemeClr w14:val="tx1"/>
                  </w14:solidFill>
                </w14:textFill>
              </w:rPr>
              <w:t>。</w:t>
            </w:r>
          </w:p>
        </w:tc>
        <w:tc>
          <w:tcPr>
            <w:tcW w:w="510" w:type="pct"/>
            <w:vAlign w:val="center"/>
          </w:tcPr>
          <w:p w14:paraId="6ED65ABB">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144</w:t>
            </w:r>
          </w:p>
        </w:tc>
      </w:tr>
      <w:tr w14:paraId="21C62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jc w:val="center"/>
        </w:trPr>
        <w:tc>
          <w:tcPr>
            <w:tcW w:w="968" w:type="pct"/>
            <w:vAlign w:val="top"/>
          </w:tcPr>
          <w:p w14:paraId="0463DE64">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5380D462">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eastAsia" w:ascii="Times New Roman" w:hAnsi="Times New Roman" w:eastAsia="FangSong_GB2312" w:cs="Times New Roman"/>
                <w:b w:val="0"/>
                <w:bCs w:val="0"/>
                <w:color w:val="000000" w:themeColor="text1"/>
                <w:kern w:val="0"/>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面包制作工艺</w:t>
            </w:r>
          </w:p>
        </w:tc>
        <w:tc>
          <w:tcPr>
            <w:tcW w:w="3520" w:type="pct"/>
            <w:vAlign w:val="top"/>
          </w:tcPr>
          <w:p w14:paraId="1A57C704">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jc w:val="both"/>
              <w:textAlignment w:val="baseline"/>
              <w:rPr>
                <w:rFonts w:hint="default" w:ascii="Times New Roman" w:hAnsi="Times New Roman" w:cs="Times New Roman"/>
                <w:color w:val="000000" w:themeColor="text1"/>
                <w:spacing w:val="-2"/>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通过学习，掌握面包制作工艺基础知识和基本技能，能胜任面包制作以及相应服务、管理等一线工作，养成规范的操作习惯，树立良好的职业道德和职业情况</w:t>
            </w:r>
            <w:r>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t>。</w:t>
            </w:r>
          </w:p>
        </w:tc>
        <w:tc>
          <w:tcPr>
            <w:tcW w:w="510" w:type="pct"/>
            <w:vAlign w:val="center"/>
          </w:tcPr>
          <w:p w14:paraId="7829A0D0">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0D195FEA">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default" w:ascii="Times New Roman" w:hAnsi="Times New Roman" w:cs="Times New Roman"/>
                <w:color w:val="000000" w:themeColor="text1"/>
                <w:spacing w:val="-5"/>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144</w:t>
            </w:r>
          </w:p>
        </w:tc>
      </w:tr>
      <w:tr w14:paraId="49B1C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968" w:type="pct"/>
            <w:vAlign w:val="top"/>
          </w:tcPr>
          <w:p w14:paraId="039ACB27">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55420F82">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default" w:ascii="Times New Roman" w:hAnsi="Times New Roman" w:cs="Times New Roman"/>
                <w:b w:val="0"/>
                <w:bCs w:val="0"/>
                <w:color w:val="000000" w:themeColor="text1"/>
                <w:kern w:val="0"/>
                <w:sz w:val="24"/>
                <w:szCs w:val="24"/>
                <w14:textFill>
                  <w14:solidFill>
                    <w14:schemeClr w14:val="tx1"/>
                  </w14:solidFill>
                </w14:textFill>
              </w:rPr>
            </w:pPr>
            <w:r>
              <w:rPr>
                <w:rFonts w:hint="eastAsia" w:ascii="Times New Roman" w:hAnsi="Times New Roman" w:cs="Times New Roman"/>
                <w:b w:val="0"/>
                <w:bCs w:val="0"/>
                <w:color w:val="000000" w:themeColor="text1"/>
                <w:kern w:val="0"/>
                <w:sz w:val="24"/>
                <w:szCs w:val="24"/>
                <w:lang w:val="en-US" w:eastAsia="zh-CN"/>
                <w14:textFill>
                  <w14:solidFill>
                    <w14:schemeClr w14:val="tx1"/>
                  </w14:solidFill>
                </w14:textFill>
              </w:rPr>
              <w:t>非遗传统风味小吃制作</w:t>
            </w:r>
          </w:p>
        </w:tc>
        <w:tc>
          <w:tcPr>
            <w:tcW w:w="3520" w:type="pct"/>
            <w:vAlign w:val="top"/>
          </w:tcPr>
          <w:p w14:paraId="7623C04E">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476" w:firstLineChars="200"/>
              <w:textAlignment w:val="baseline"/>
              <w:rPr>
                <w:rFonts w:hint="default" w:ascii="Times New Roman" w:hAnsi="Times New Roman" w:cs="Times New Roman"/>
                <w:color w:val="000000" w:themeColor="text1"/>
                <w:spacing w:val="-2"/>
                <w:sz w:val="24"/>
                <w:szCs w:val="24"/>
                <w14:textFill>
                  <w14:solidFill>
                    <w14:schemeClr w14:val="tx1"/>
                  </w14:solidFill>
                </w14:textFill>
              </w:rPr>
            </w:pPr>
            <w:r>
              <w:rPr>
                <w:rFonts w:hint="default" w:ascii="仿宋_GB2312" w:hAnsi="仿宋_GB2312" w:eastAsia="仿宋_GB2312" w:cs="仿宋_GB2312"/>
                <w:color w:val="000000" w:themeColor="text1"/>
                <w:spacing w:val="-1"/>
                <w:sz w:val="24"/>
                <w:szCs w:val="24"/>
                <w14:textFill>
                  <w14:solidFill>
                    <w14:schemeClr w14:val="tx1"/>
                  </w14:solidFill>
                </w14:textFill>
              </w:rPr>
              <w:t>了解《</w:t>
            </w: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风味小吃</w:t>
            </w:r>
            <w:r>
              <w:rPr>
                <w:rFonts w:hint="default" w:ascii="仿宋_GB2312" w:hAnsi="仿宋_GB2312" w:eastAsia="仿宋_GB2312" w:cs="仿宋_GB2312"/>
                <w:color w:val="000000" w:themeColor="text1"/>
                <w:spacing w:val="-1"/>
                <w:sz w:val="24"/>
                <w:szCs w:val="24"/>
                <w14:textFill>
                  <w14:solidFill>
                    <w14:schemeClr w14:val="tx1"/>
                  </w14:solidFill>
                </w14:textFill>
              </w:rPr>
              <w:t>》的相关基础理论知识。熟悉掌握小吃的基本原料;学会小吃的制作方法。并通过推广，弘扬本地区的优良饮食习惯。</w:t>
            </w:r>
          </w:p>
        </w:tc>
        <w:tc>
          <w:tcPr>
            <w:tcW w:w="510" w:type="pct"/>
            <w:vAlign w:val="center"/>
          </w:tcPr>
          <w:p w14:paraId="3E6B7821">
            <w:pPr>
              <w:keepNext w:val="0"/>
              <w:keepLines w:val="0"/>
              <w:pageBreakBefore w:val="0"/>
              <w:widowControl/>
              <w:kinsoku/>
              <w:wordWrap/>
              <w:overflowPunct/>
              <w:topLinePunct w:val="0"/>
              <w:autoSpaceDE w:val="0"/>
              <w:autoSpaceDN w:val="0"/>
              <w:bidi w:val="0"/>
              <w:adjustRightInd w:val="0"/>
              <w:snapToGrid w:val="0"/>
              <w:spacing w:line="560" w:lineRule="atLeas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286E1115">
            <w:pPr>
              <w:pStyle w:val="13"/>
              <w:keepNext w:val="0"/>
              <w:keepLines w:val="0"/>
              <w:pageBreakBefore w:val="0"/>
              <w:widowControl/>
              <w:kinsoku/>
              <w:wordWrap/>
              <w:overflowPunct/>
              <w:topLinePunct w:val="0"/>
              <w:autoSpaceDE w:val="0"/>
              <w:autoSpaceDN w:val="0"/>
              <w:bidi w:val="0"/>
              <w:adjustRightInd w:val="0"/>
              <w:snapToGrid w:val="0"/>
              <w:spacing w:line="560" w:lineRule="atLeast"/>
              <w:ind w:left="0" w:leftChars="0" w:right="0" w:rightChars="0" w:firstLine="0" w:firstLineChars="0"/>
              <w:jc w:val="center"/>
              <w:textAlignment w:val="baseline"/>
              <w:rPr>
                <w:rFonts w:hint="default" w:ascii="Times New Roman" w:hAnsi="Times New Roman" w:cs="Times New Roman"/>
                <w:color w:val="000000" w:themeColor="text1"/>
                <w:spacing w:val="-5"/>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72</w:t>
            </w:r>
          </w:p>
        </w:tc>
      </w:tr>
    </w:tbl>
    <w:p w14:paraId="5DA49C18">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p>
    <w:p w14:paraId="146688EB">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3.专业拓展课程设置及要求</w:t>
      </w:r>
    </w:p>
    <w:tbl>
      <w:tblPr>
        <w:tblStyle w:val="14"/>
        <w:tblW w:w="500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06"/>
        <w:gridCol w:w="6879"/>
        <w:gridCol w:w="981"/>
      </w:tblGrid>
      <w:tr w14:paraId="7E5F8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976" w:type="pct"/>
            <w:vAlign w:val="center"/>
          </w:tcPr>
          <w:p w14:paraId="118E8355">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2"/>
                <w:sz w:val="24"/>
                <w:szCs w:val="24"/>
                <w14:textFill>
                  <w14:solidFill>
                    <w14:schemeClr w14:val="tx1"/>
                  </w14:solidFill>
                </w14:textFill>
              </w:rPr>
              <w:t>课程名称</w:t>
            </w:r>
          </w:p>
        </w:tc>
        <w:tc>
          <w:tcPr>
            <w:tcW w:w="3521" w:type="pct"/>
            <w:vAlign w:val="center"/>
          </w:tcPr>
          <w:p w14:paraId="4155265B">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2"/>
                <w:sz w:val="24"/>
                <w:szCs w:val="24"/>
                <w14:textFill>
                  <w14:solidFill>
                    <w14:schemeClr w14:val="tx1"/>
                  </w14:solidFill>
                </w14:textFill>
              </w:rPr>
              <w:t>主要教学内容和要求</w:t>
            </w:r>
          </w:p>
        </w:tc>
        <w:tc>
          <w:tcPr>
            <w:tcW w:w="502" w:type="pct"/>
            <w:vAlign w:val="center"/>
          </w:tcPr>
          <w:p w14:paraId="6CC26D72">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8"/>
                <w:sz w:val="24"/>
                <w:szCs w:val="24"/>
                <w14:textFill>
                  <w14:solidFill>
                    <w14:schemeClr w14:val="tx1"/>
                  </w14:solidFill>
                </w14:textFill>
              </w:rPr>
              <w:t>计划</w:t>
            </w:r>
            <w:r>
              <w:rPr>
                <w:rFonts w:hint="default" w:ascii="Times New Roman" w:hAnsi="Times New Roman" w:cs="Times New Roman"/>
                <w:b/>
                <w:bCs/>
                <w:color w:val="000000" w:themeColor="text1"/>
                <w:spacing w:val="-12"/>
                <w:sz w:val="24"/>
                <w:szCs w:val="24"/>
                <w14:textFill>
                  <w14:solidFill>
                    <w14:schemeClr w14:val="tx1"/>
                  </w14:solidFill>
                </w14:textFill>
              </w:rPr>
              <w:t>学时</w:t>
            </w:r>
          </w:p>
        </w:tc>
      </w:tr>
      <w:tr w14:paraId="77C86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976" w:type="pct"/>
            <w:vAlign w:val="center"/>
          </w:tcPr>
          <w:p w14:paraId="69CD0A49">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snapToGrid w:val="0"/>
                <w:color w:val="000000" w:themeColor="text1"/>
                <w:spacing w:val="3"/>
                <w:kern w:val="0"/>
                <w:sz w:val="24"/>
                <w:szCs w:val="24"/>
                <w:lang w:val="en-US" w:eastAsia="en-US" w:bidi="ar-SA"/>
                <w14:textFill>
                  <w14:solidFill>
                    <w14:schemeClr w14:val="tx1"/>
                  </w14:solidFill>
                </w14:textFill>
              </w:rPr>
            </w:pPr>
            <w:r>
              <w:rPr>
                <w:rFonts w:hint="default" w:ascii="Times New Roman" w:hAnsi="Times New Roman" w:eastAsia="FangSong_GB2312" w:cs="Times New Roman"/>
                <w:snapToGrid w:val="0"/>
                <w:color w:val="000000" w:themeColor="text1"/>
                <w:spacing w:val="3"/>
                <w:kern w:val="0"/>
                <w:sz w:val="24"/>
                <w:szCs w:val="24"/>
                <w:lang w:val="en-US" w:eastAsia="en-US" w:bidi="ar-SA"/>
                <w14:textFill>
                  <w14:solidFill>
                    <w14:schemeClr w14:val="tx1"/>
                  </w14:solidFill>
                </w14:textFill>
              </w:rPr>
              <w:t>糖艺</w:t>
            </w:r>
          </w:p>
        </w:tc>
        <w:tc>
          <w:tcPr>
            <w:tcW w:w="3521" w:type="pct"/>
            <w:vAlign w:val="top"/>
          </w:tcPr>
          <w:p w14:paraId="05F651B7">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80" w:firstLineChars="200"/>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系统讲授糖艺基础操作技术、糖艺技术手法、糖艺花朵制作、色彩与装饰等内容，使学生掌握糖艺制作的基本技能和理论知识。</w:t>
            </w:r>
          </w:p>
        </w:tc>
        <w:tc>
          <w:tcPr>
            <w:tcW w:w="502" w:type="pct"/>
            <w:vAlign w:val="center"/>
          </w:tcPr>
          <w:p w14:paraId="733393B2">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72</w:t>
            </w:r>
          </w:p>
        </w:tc>
      </w:tr>
      <w:tr w14:paraId="6EEBC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976" w:type="pct"/>
            <w:vAlign w:val="center"/>
          </w:tcPr>
          <w:p w14:paraId="31679D34">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snapToGrid w:val="0"/>
                <w:color w:val="000000" w:themeColor="text1"/>
                <w:spacing w:val="3"/>
                <w:kern w:val="0"/>
                <w:sz w:val="24"/>
                <w:szCs w:val="24"/>
                <w:lang w:val="en-US" w:eastAsia="en-US" w:bidi="ar-SA"/>
                <w14:textFill>
                  <w14:solidFill>
                    <w14:schemeClr w14:val="tx1"/>
                  </w14:solidFill>
                </w14:textFill>
              </w:rPr>
            </w:pPr>
            <w:r>
              <w:rPr>
                <w:rFonts w:hint="default" w:ascii="Times New Roman" w:hAnsi="Times New Roman" w:eastAsia="FangSong_GB2312" w:cs="Times New Roman"/>
                <w:snapToGrid w:val="0"/>
                <w:color w:val="000000" w:themeColor="text1"/>
                <w:spacing w:val="3"/>
                <w:kern w:val="0"/>
                <w:sz w:val="24"/>
                <w:szCs w:val="24"/>
                <w:lang w:val="en-US" w:eastAsia="en-US" w:bidi="ar-SA"/>
                <w14:textFill>
                  <w14:solidFill>
                    <w14:schemeClr w14:val="tx1"/>
                  </w14:solidFill>
                </w14:textFill>
              </w:rPr>
              <w:t>面塑</w:t>
            </w:r>
          </w:p>
        </w:tc>
        <w:tc>
          <w:tcPr>
            <w:tcW w:w="3521" w:type="pct"/>
            <w:vAlign w:val="top"/>
          </w:tcPr>
          <w:p w14:paraId="7245B987">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系统讲授面塑艺术基础、面塑制作方法、面塑设计与创作、面塑保存于展示等内容，使学生掌握面塑制作的基本技能和理论知识。</w:t>
            </w:r>
          </w:p>
        </w:tc>
        <w:tc>
          <w:tcPr>
            <w:tcW w:w="502" w:type="pct"/>
            <w:vAlign w:val="center"/>
          </w:tcPr>
          <w:p w14:paraId="31458FF6">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72</w:t>
            </w:r>
          </w:p>
        </w:tc>
      </w:tr>
      <w:tr w14:paraId="54383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3" w:hRule="atLeast"/>
        </w:trPr>
        <w:tc>
          <w:tcPr>
            <w:tcW w:w="976" w:type="pct"/>
            <w:vAlign w:val="center"/>
          </w:tcPr>
          <w:p w14:paraId="5AA64AB7">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pPr>
            <w:r>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t>创意西点</w:t>
            </w:r>
          </w:p>
          <w:p w14:paraId="5B58E5F3">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pPr>
            <w:r>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t>制作工艺</w:t>
            </w:r>
          </w:p>
        </w:tc>
        <w:tc>
          <w:tcPr>
            <w:tcW w:w="3521" w:type="pct"/>
            <w:vAlign w:val="top"/>
          </w:tcPr>
          <w:p w14:paraId="612F3BAF">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系统讲授西点基础知识、基础操作技法、经典西点制作、创新西点设计、食品安全与卫生、职业素养培养等方面的内容，提升学生的西点制作技能和职业竞争力。</w:t>
            </w:r>
          </w:p>
        </w:tc>
        <w:tc>
          <w:tcPr>
            <w:tcW w:w="502" w:type="pct"/>
            <w:vAlign w:val="center"/>
          </w:tcPr>
          <w:p w14:paraId="61488D64">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color w:val="000000" w:themeColor="text1"/>
                <w:spacing w:val="-8"/>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72</w:t>
            </w:r>
          </w:p>
        </w:tc>
      </w:tr>
      <w:tr w14:paraId="1ACEE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7" w:hRule="atLeast"/>
        </w:trPr>
        <w:tc>
          <w:tcPr>
            <w:tcW w:w="976" w:type="pct"/>
            <w:vAlign w:val="center"/>
          </w:tcPr>
          <w:p w14:paraId="07857E43">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pPr>
            <w:r>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t>咖啡饮料</w:t>
            </w:r>
          </w:p>
          <w:p w14:paraId="1C1652D6">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pPr>
            <w:r>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t>制作工艺</w:t>
            </w:r>
          </w:p>
        </w:tc>
        <w:tc>
          <w:tcPr>
            <w:tcW w:w="3521" w:type="pct"/>
            <w:vAlign w:val="top"/>
          </w:tcPr>
          <w:p w14:paraId="17E135A1">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系统讲授咖啡基础知识、制作工艺、咖啡品鉴、设备与器具、职业素养等内容，使学生掌握咖啡制作的基础知识和专业技能，同时培养良好的职业素养和持续学习的能力。</w:t>
            </w:r>
          </w:p>
        </w:tc>
        <w:tc>
          <w:tcPr>
            <w:tcW w:w="502" w:type="pct"/>
            <w:vAlign w:val="center"/>
          </w:tcPr>
          <w:p w14:paraId="1633CC84">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color w:val="000000" w:themeColor="text1"/>
                <w:spacing w:val="-8"/>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72</w:t>
            </w:r>
          </w:p>
        </w:tc>
      </w:tr>
      <w:tr w14:paraId="7D46F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trPr>
        <w:tc>
          <w:tcPr>
            <w:tcW w:w="976" w:type="pct"/>
            <w:vAlign w:val="center"/>
          </w:tcPr>
          <w:p w14:paraId="13D4BA0D">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pPr>
            <w:r>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t>店铺创业实践</w:t>
            </w:r>
          </w:p>
        </w:tc>
        <w:tc>
          <w:tcPr>
            <w:tcW w:w="3521" w:type="pct"/>
            <w:vAlign w:val="top"/>
          </w:tcPr>
          <w:p w14:paraId="58A34B0C">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系统讲授创业基础知识、店铺运营与管理、财务管理与资金筹措、顾客关系管理与服务优化、创新与创业精神等方面的内容，使学生掌握</w:t>
            </w:r>
            <w:r>
              <w:rPr>
                <w:rFonts w:hint="default" w:ascii="仿宋_GB2312" w:hAnsi="仿宋_GB2312" w:eastAsia="仿宋_GB2312" w:cs="仿宋_GB2312"/>
                <w:color w:val="000000" w:themeColor="text1"/>
                <w:spacing w:val="-1"/>
                <w:sz w:val="24"/>
                <w:szCs w:val="24"/>
                <w:lang w:val="en-US" w:eastAsia="en-US"/>
                <w14:textFill>
                  <w14:solidFill>
                    <w14:schemeClr w14:val="tx1"/>
                  </w14:solidFill>
                </w14:textFill>
              </w:rPr>
              <w:t>店铺创业</w:t>
            </w: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的基本知识和运营技巧。</w:t>
            </w:r>
          </w:p>
        </w:tc>
        <w:tc>
          <w:tcPr>
            <w:tcW w:w="502" w:type="pct"/>
            <w:vAlign w:val="center"/>
          </w:tcPr>
          <w:p w14:paraId="21D9914A">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color w:val="000000" w:themeColor="text1"/>
                <w:spacing w:val="-8"/>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72</w:t>
            </w:r>
          </w:p>
        </w:tc>
      </w:tr>
      <w:tr w14:paraId="36782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trPr>
        <w:tc>
          <w:tcPr>
            <w:tcW w:w="976" w:type="pct"/>
            <w:vAlign w:val="center"/>
          </w:tcPr>
          <w:p w14:paraId="703730E9">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pPr>
            <w:r>
              <w:rPr>
                <w:rFonts w:hint="default" w:ascii="Times New Roman" w:hAnsi="Times New Roman" w:eastAsia="FangSong_GB2312" w:cs="Times New Roman"/>
                <w:snapToGrid w:val="0"/>
                <w:color w:val="000000" w:themeColor="text1"/>
                <w:spacing w:val="-8"/>
                <w:kern w:val="0"/>
                <w:sz w:val="24"/>
                <w:szCs w:val="24"/>
                <w:lang w:val="en-US" w:eastAsia="en-US" w:bidi="ar-SA"/>
                <w14:textFill>
                  <w14:solidFill>
                    <w14:schemeClr w14:val="tx1"/>
                  </w14:solidFill>
                </w14:textFill>
              </w:rPr>
              <w:t>AI面点短视频与新媒体运营</w:t>
            </w:r>
          </w:p>
        </w:tc>
        <w:tc>
          <w:tcPr>
            <w:tcW w:w="3521" w:type="pct"/>
            <w:vAlign w:val="top"/>
          </w:tcPr>
          <w:p w14:paraId="715399F5">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课程运用AI剪辑工具制作面点实操短视频，AI生成宣传脚本、产品文案，设计新品海报、礼盒效果图，借助数据分析优化内容流量。要求独立完成拍摄、AI剪辑、图文设计全套流程，产出宣传短视频与商用海报，掌握烘焙自媒体运营基础，能借助AI宣传面点产品，拓宽创业与门店运营相关就业方向。</w:t>
            </w:r>
          </w:p>
        </w:tc>
        <w:tc>
          <w:tcPr>
            <w:tcW w:w="502" w:type="pct"/>
            <w:vAlign w:val="center"/>
          </w:tcPr>
          <w:p w14:paraId="45F1F5BB">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cs="Times New Roman"/>
                <w:color w:val="000000" w:themeColor="text1"/>
                <w:spacing w:val="-8"/>
                <w:sz w:val="24"/>
                <w:szCs w:val="24"/>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4"/>
                <w:szCs w:val="24"/>
                <w:lang w:val="en-US" w:eastAsia="zh-CN" w:bidi="ar-SA"/>
              </w:rPr>
              <w:t>72</w:t>
            </w:r>
          </w:p>
        </w:tc>
      </w:tr>
      <w:tr w14:paraId="721F3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trPr>
        <w:tc>
          <w:tcPr>
            <w:tcW w:w="976" w:type="pct"/>
            <w:vAlign w:val="center"/>
          </w:tcPr>
          <w:p w14:paraId="44645C41">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eastAsia" w:ascii="Times New Roman" w:hAnsi="Times New Roman" w:eastAsia="FangSong_GB2312" w:cs="Times New Roman"/>
                <w:snapToGrid w:val="0"/>
                <w:color w:val="000000" w:themeColor="text1"/>
                <w:spacing w:val="-8"/>
                <w:kern w:val="0"/>
                <w:sz w:val="24"/>
                <w:szCs w:val="24"/>
                <w:lang w:val="en-US" w:eastAsia="zh-CN" w:bidi="ar-SA"/>
                <w14:textFill>
                  <w14:solidFill>
                    <w14:schemeClr w14:val="tx1"/>
                  </w14:solidFill>
                </w14:textFill>
              </w:rPr>
            </w:pPr>
            <w:r>
              <w:rPr>
                <w:rFonts w:hint="eastAsia" w:ascii="Times New Roman" w:hAnsi="Times New Roman" w:eastAsia="FangSong_GB2312" w:cs="Times New Roman"/>
                <w:snapToGrid w:val="0"/>
                <w:color w:val="000000" w:themeColor="text1"/>
                <w:spacing w:val="-8"/>
                <w:kern w:val="0"/>
                <w:sz w:val="24"/>
                <w:szCs w:val="24"/>
                <w:lang w:val="en-US" w:eastAsia="zh-CN" w:bidi="ar-SA"/>
                <w14:textFill>
                  <w14:solidFill>
                    <w14:schemeClr w14:val="tx1"/>
                  </w14:solidFill>
                </w14:textFill>
              </w:rPr>
              <w:t>职业礼仪</w:t>
            </w:r>
          </w:p>
        </w:tc>
        <w:tc>
          <w:tcPr>
            <w:tcW w:w="3521" w:type="pct"/>
            <w:vAlign w:val="top"/>
          </w:tcPr>
          <w:p w14:paraId="3E45C60C">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课程围绕面点岗位职业礼仪开展教学，包含仪容仪表、操作礼仪、服务沟通、岗位行为规范。要求学生上岗穿戴干净工装、工帽，头发全部收纳于帽内，不留长指甲，不佩戴首饰。实操时讲究卫生礼仪，规范站姿、手势，对待原料轻拿轻放。学习与同事、顾客的沟通礼仪，用语礼貌得体。课堂要求严守纪律，重视实操场景模拟，把礼仪落实到揉面、成型、出品等面点操作全过程。树立食品行业职业素养，尊重食材，注重个人卫生，养成良好职业习惯，做到举止得体、文明规范。</w:t>
            </w:r>
          </w:p>
        </w:tc>
        <w:tc>
          <w:tcPr>
            <w:tcW w:w="502" w:type="pct"/>
            <w:vAlign w:val="center"/>
          </w:tcPr>
          <w:p w14:paraId="72020FD5">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cs="Times New Roman"/>
                <w:color w:val="000000" w:themeColor="text1"/>
                <w:spacing w:val="-8"/>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36</w:t>
            </w:r>
          </w:p>
        </w:tc>
      </w:tr>
    </w:tbl>
    <w:p w14:paraId="04244898">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4.综合实训课程设置及要求</w:t>
      </w:r>
    </w:p>
    <w:tbl>
      <w:tblPr>
        <w:tblStyle w:val="14"/>
        <w:tblW w:w="500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900"/>
        <w:gridCol w:w="6905"/>
        <w:gridCol w:w="957"/>
      </w:tblGrid>
      <w:tr w14:paraId="1E5FE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08" w:hRule="atLeast"/>
        </w:trPr>
        <w:tc>
          <w:tcPr>
            <w:tcW w:w="973" w:type="pct"/>
            <w:vAlign w:val="center"/>
          </w:tcPr>
          <w:p w14:paraId="2D441B3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bookmarkStart w:id="18" w:name="_Toc17430"/>
            <w:r>
              <w:rPr>
                <w:rFonts w:hint="default" w:ascii="Times New Roman" w:hAnsi="Times New Roman" w:cs="Times New Roman"/>
                <w:b/>
                <w:bCs/>
                <w:color w:val="000000" w:themeColor="text1"/>
                <w:spacing w:val="-2"/>
                <w:sz w:val="24"/>
                <w:szCs w:val="24"/>
                <w14:textFill>
                  <w14:solidFill>
                    <w14:schemeClr w14:val="tx1"/>
                  </w14:solidFill>
                </w14:textFill>
              </w:rPr>
              <w:t>课程名称</w:t>
            </w:r>
          </w:p>
        </w:tc>
        <w:tc>
          <w:tcPr>
            <w:tcW w:w="3535" w:type="pct"/>
            <w:vAlign w:val="center"/>
          </w:tcPr>
          <w:p w14:paraId="5A5350CB">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2"/>
                <w:sz w:val="24"/>
                <w:szCs w:val="24"/>
                <w14:textFill>
                  <w14:solidFill>
                    <w14:schemeClr w14:val="tx1"/>
                  </w14:solidFill>
                </w14:textFill>
              </w:rPr>
              <w:t>主要教学内容和要求</w:t>
            </w:r>
          </w:p>
        </w:tc>
        <w:tc>
          <w:tcPr>
            <w:tcW w:w="490" w:type="pct"/>
            <w:vAlign w:val="center"/>
          </w:tcPr>
          <w:p w14:paraId="0974E690">
            <w:pPr>
              <w:pStyle w:val="13"/>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firstLineChars="0"/>
              <w:jc w:val="center"/>
              <w:textAlignment w:val="baseline"/>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pacing w:val="-8"/>
                <w:sz w:val="24"/>
                <w:szCs w:val="24"/>
                <w14:textFill>
                  <w14:solidFill>
                    <w14:schemeClr w14:val="tx1"/>
                  </w14:solidFill>
                </w14:textFill>
              </w:rPr>
              <w:t>计划</w:t>
            </w:r>
            <w:r>
              <w:rPr>
                <w:rFonts w:hint="default" w:ascii="Times New Roman" w:hAnsi="Times New Roman" w:cs="Times New Roman"/>
                <w:b/>
                <w:bCs/>
                <w:color w:val="000000" w:themeColor="text1"/>
                <w:spacing w:val="-12"/>
                <w:sz w:val="24"/>
                <w:szCs w:val="24"/>
                <w14:textFill>
                  <w14:solidFill>
                    <w14:schemeClr w14:val="tx1"/>
                  </w14:solidFill>
                </w14:textFill>
              </w:rPr>
              <w:t>学时</w:t>
            </w:r>
          </w:p>
        </w:tc>
      </w:tr>
      <w:tr w14:paraId="664F30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5" w:hRule="atLeast"/>
        </w:trPr>
        <w:tc>
          <w:tcPr>
            <w:tcW w:w="973" w:type="pct"/>
            <w:vAlign w:val="center"/>
          </w:tcPr>
          <w:p w14:paraId="38997091">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跟岗实习</w:t>
            </w:r>
          </w:p>
        </w:tc>
        <w:tc>
          <w:tcPr>
            <w:tcW w:w="3535" w:type="pct"/>
            <w:vAlign w:val="center"/>
          </w:tcPr>
          <w:p w14:paraId="00FD9345">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掌握餐饮企业后厨及前厅的基本运营情况；具有餐饮企业后厨及前厅各岗位的基本技能，具备从事餐饮后厨及前厅各岗位所需的沟通和创新等技能。</w:t>
            </w:r>
          </w:p>
        </w:tc>
        <w:tc>
          <w:tcPr>
            <w:tcW w:w="490" w:type="pct"/>
            <w:vAlign w:val="center"/>
          </w:tcPr>
          <w:p w14:paraId="76E42059">
            <w:pPr>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cs="Times New Roman"/>
                <w:color w:val="000000" w:themeColor="text1"/>
                <w:sz w:val="24"/>
                <w:szCs w:val="24"/>
                <w14:textFill>
                  <w14:solidFill>
                    <w14:schemeClr w14:val="tx1"/>
                  </w14:solidFill>
                </w14:textFill>
              </w:rPr>
            </w:pPr>
          </w:p>
          <w:p w14:paraId="6C529BD1">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600</w:t>
            </w:r>
          </w:p>
        </w:tc>
      </w:tr>
      <w:tr w14:paraId="3B6CD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973" w:type="pct"/>
            <w:vAlign w:val="center"/>
          </w:tcPr>
          <w:p w14:paraId="1441E454">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eastAsia="FangSong_GB2312"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毕业设计</w:t>
            </w:r>
          </w:p>
        </w:tc>
        <w:tc>
          <w:tcPr>
            <w:tcW w:w="3535" w:type="pct"/>
            <w:vAlign w:val="center"/>
          </w:tcPr>
          <w:p w14:paraId="11018047">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476" w:firstLineChars="200"/>
              <w:textAlignment w:val="baseline"/>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24"/>
                <w:szCs w:val="24"/>
                <w:lang w:val="en-US" w:eastAsia="zh-CN"/>
                <w14:textFill>
                  <w14:solidFill>
                    <w14:schemeClr w14:val="tx1"/>
                  </w14:solidFill>
                </w14:textFill>
              </w:rPr>
              <w:t>毕业设计需结合中西面点技艺与AI技术，自主研发特色面点产品。运用AI完成造型设计、配方优化，实操制作成品，配套产出宣传海报与短视频。撰写研发报告，包含配方、成本、工艺及推广方案。要求作品工艺规范、设计创新，熟练融合AI工具，完整提交实物、素材与文档，顺利完成答辩。</w:t>
            </w:r>
          </w:p>
        </w:tc>
        <w:tc>
          <w:tcPr>
            <w:tcW w:w="490" w:type="pct"/>
            <w:vAlign w:val="center"/>
          </w:tcPr>
          <w:p w14:paraId="06AE6B95">
            <w:pPr>
              <w:pStyle w:val="13"/>
              <w:keepNext w:val="0"/>
              <w:keepLines w:val="0"/>
              <w:pageBreakBefore w:val="0"/>
              <w:widowControl/>
              <w:kinsoku/>
              <w:wordWrap/>
              <w:overflowPunct/>
              <w:topLinePunct w:val="0"/>
              <w:autoSpaceDE w:val="0"/>
              <w:autoSpaceDN w:val="0"/>
              <w:bidi w:val="0"/>
              <w:adjustRightInd w:val="0"/>
              <w:snapToGrid w:val="0"/>
              <w:spacing w:line="560" w:lineRule="exact"/>
              <w:ind w:left="0" w:right="0" w:firstLine="0" w:firstLineChars="0"/>
              <w:jc w:val="center"/>
              <w:textAlignment w:val="baseline"/>
              <w:rPr>
                <w:rFonts w:hint="default" w:ascii="Times New Roman" w:hAnsi="Times New Roman" w:cs="Times New Roman"/>
                <w:color w:val="000000" w:themeColor="text1"/>
                <w:sz w:val="24"/>
                <w:szCs w:val="24"/>
                <w:lang w:val="en-US"/>
                <w14:textFill>
                  <w14:solidFill>
                    <w14:schemeClr w14:val="tx1"/>
                  </w14:solidFill>
                </w14:textFill>
              </w:rPr>
            </w:pPr>
            <w:r>
              <w:rPr>
                <w:rFonts w:hint="eastAsia" w:ascii="Times New Roman" w:hAnsi="Times New Roman" w:eastAsia="仿宋_GB2312" w:cs="Times New Roman"/>
                <w:snapToGrid w:val="0"/>
                <w:color w:val="000000"/>
                <w:kern w:val="0"/>
                <w:sz w:val="24"/>
                <w:szCs w:val="24"/>
                <w:lang w:val="en-US" w:eastAsia="zh-CN" w:bidi="ar-SA"/>
              </w:rPr>
              <w:t>240</w:t>
            </w:r>
          </w:p>
        </w:tc>
      </w:tr>
    </w:tbl>
    <w:p w14:paraId="1CA1392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r>
        <w:rPr>
          <w:rFonts w:hint="eastAsia" w:ascii="黑体" w:hAnsi="黑体" w:eastAsia="黑体" w:cs="黑体"/>
          <w:snapToGrid w:val="0"/>
          <w:color w:val="000000"/>
          <w:kern w:val="0"/>
          <w:sz w:val="28"/>
          <w:szCs w:val="28"/>
          <w:lang w:val="en-US" w:eastAsia="zh-CN"/>
        </w:rPr>
        <w:t>七、教学进程总体安排</w:t>
      </w:r>
      <w:bookmarkEnd w:id="18"/>
    </w:p>
    <w:p w14:paraId="6993573E">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（一）基本要求</w:t>
      </w:r>
    </w:p>
    <w:p w14:paraId="3EDD49A8">
      <w:pPr>
        <w:keepNext w:val="0"/>
        <w:keepLines w:val="0"/>
        <w:pageBreakBefore w:val="0"/>
        <w:wordWrap/>
        <w:overflowPunct/>
        <w:topLinePunct w:val="0"/>
        <w:bidi w:val="0"/>
        <w:spacing w:line="560" w:lineRule="exact"/>
        <w:ind w:left="0" w:right="528" w:firstLine="577"/>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5"/>
          <w:sz w:val="30"/>
          <w:szCs w:val="30"/>
          <w14:textFill>
            <w14:solidFill>
              <w14:schemeClr w14:val="tx1"/>
            </w14:solidFill>
          </w14:textFill>
        </w:rPr>
        <w:t>学年教学时间不少于</w:t>
      </w:r>
      <w:r>
        <w:rPr>
          <w:rFonts w:hint="eastAsia" w:ascii="Times New Roman" w:hAnsi="Times New Roman" w:eastAsia="仿宋_GB2312" w:cs="Times New Roman"/>
          <w:snapToGrid w:val="0"/>
          <w:color w:val="000000"/>
          <w:kern w:val="0"/>
          <w:sz w:val="28"/>
          <w:szCs w:val="28"/>
          <w:lang w:val="en-US" w:eastAsia="zh-CN"/>
        </w:rPr>
        <w:t>40</w:t>
      </w:r>
      <w:r>
        <w:rPr>
          <w:rFonts w:hint="eastAsia" w:ascii="仿宋_GB2312" w:hAnsi="仿宋_GB2312" w:eastAsia="仿宋_GB2312" w:cs="仿宋_GB2312"/>
          <w:color w:val="000000" w:themeColor="text1"/>
          <w:spacing w:val="5"/>
          <w:sz w:val="30"/>
          <w:szCs w:val="30"/>
          <w14:textFill>
            <w14:solidFill>
              <w14:schemeClr w14:val="tx1"/>
            </w14:solidFill>
          </w14:textFill>
        </w:rPr>
        <w:t>周，三年总学时数</w:t>
      </w:r>
      <w:r>
        <w:rPr>
          <w:rFonts w:hint="eastAsia" w:ascii="Times New Roman" w:hAnsi="Times New Roman" w:eastAsia="仿宋_GB2312" w:cs="Times New Roman"/>
          <w:snapToGrid w:val="0"/>
          <w:color w:val="000000"/>
          <w:kern w:val="0"/>
          <w:sz w:val="28"/>
          <w:szCs w:val="28"/>
          <w:lang w:val="en-US" w:eastAsia="zh-CN"/>
        </w:rPr>
        <w:t>3926</w:t>
      </w:r>
      <w:r>
        <w:rPr>
          <w:rFonts w:hint="eastAsia" w:ascii="仿宋_GB2312" w:hAnsi="仿宋_GB2312" w:eastAsia="仿宋_GB2312" w:cs="仿宋_GB2312"/>
          <w:color w:val="000000" w:themeColor="text1"/>
          <w:spacing w:val="5"/>
          <w:sz w:val="30"/>
          <w:szCs w:val="30"/>
          <w:lang w:val="en-US" w:eastAsia="zh-CN"/>
          <w14:textFill>
            <w14:solidFill>
              <w14:schemeClr w14:val="tx1"/>
            </w14:solidFill>
          </w14:textFill>
        </w:rPr>
        <w:t>学时</w:t>
      </w:r>
      <w:r>
        <w:rPr>
          <w:rFonts w:hint="eastAsia" w:ascii="仿宋_GB2312" w:hAnsi="仿宋_GB2312" w:eastAsia="仿宋_GB2312" w:cs="仿宋_GB2312"/>
          <w:color w:val="000000" w:themeColor="text1"/>
          <w:spacing w:val="3"/>
          <w:sz w:val="30"/>
          <w:szCs w:val="30"/>
          <w14:textFill>
            <w14:solidFill>
              <w14:schemeClr w14:val="tx1"/>
            </w14:solidFill>
          </w14:textFill>
        </w:rPr>
        <w:t>，</w:t>
      </w:r>
      <w:r>
        <w:rPr>
          <w:rFonts w:hint="eastAsia" w:ascii="仿宋_GB2312" w:hAnsi="仿宋_GB2312" w:eastAsia="仿宋_GB2312" w:cs="仿宋_GB2312"/>
          <w:color w:val="000000" w:themeColor="text1"/>
          <w:spacing w:val="3"/>
          <w:sz w:val="30"/>
          <w:szCs w:val="30"/>
          <w:lang w:val="en-US" w:eastAsia="zh-CN"/>
          <w14:textFill>
            <w14:solidFill>
              <w14:schemeClr w14:val="tx1"/>
            </w14:solidFill>
          </w14:textFill>
        </w:rPr>
        <w:t>岗位实习按每周</w:t>
      </w:r>
      <w:r>
        <w:rPr>
          <w:rFonts w:hint="eastAsia" w:ascii="Times New Roman" w:hAnsi="Times New Roman" w:eastAsia="仿宋_GB2312" w:cs="Times New Roman"/>
          <w:snapToGrid w:val="0"/>
          <w:color w:val="000000"/>
          <w:kern w:val="0"/>
          <w:sz w:val="28"/>
          <w:szCs w:val="28"/>
          <w:lang w:val="en-US" w:eastAsia="zh-CN"/>
        </w:rPr>
        <w:t>30</w:t>
      </w:r>
      <w:r>
        <w:rPr>
          <w:rFonts w:hint="eastAsia" w:ascii="仿宋_GB2312" w:hAnsi="仿宋_GB2312" w:eastAsia="仿宋_GB2312" w:cs="仿宋_GB2312"/>
          <w:color w:val="000000" w:themeColor="text1"/>
          <w:spacing w:val="3"/>
          <w:sz w:val="30"/>
          <w:szCs w:val="30"/>
          <w:lang w:val="en-US" w:eastAsia="zh-CN"/>
          <w14:textFill>
            <w14:solidFill>
              <w14:schemeClr w14:val="tx1"/>
            </w14:solidFill>
          </w14:textFill>
        </w:rPr>
        <w:t>学时安排</w:t>
      </w:r>
      <w:r>
        <w:rPr>
          <w:rFonts w:hint="eastAsia" w:ascii="仿宋_GB2312" w:hAnsi="仿宋_GB2312" w:eastAsia="仿宋_GB2312" w:cs="仿宋_GB2312"/>
          <w:color w:val="000000" w:themeColor="text1"/>
          <w:spacing w:val="3"/>
          <w:sz w:val="30"/>
          <w:szCs w:val="30"/>
          <w14:textFill>
            <w14:solidFill>
              <w14:schemeClr w14:val="tx1"/>
            </w14:solidFill>
          </w14:textFill>
        </w:rPr>
        <w:t>；学分与学时的换</w:t>
      </w:r>
      <w:r>
        <w:rPr>
          <w:rFonts w:hint="eastAsia" w:ascii="仿宋_GB2312" w:hAnsi="仿宋_GB2312" w:eastAsia="仿宋_GB2312" w:cs="仿宋_GB2312"/>
          <w:color w:val="000000" w:themeColor="text1"/>
          <w:spacing w:val="-5"/>
          <w:sz w:val="30"/>
          <w:szCs w:val="30"/>
          <w14:textFill>
            <w14:solidFill>
              <w14:schemeClr w14:val="tx1"/>
            </w14:solidFill>
          </w14:textFill>
        </w:rPr>
        <w:t>算</w:t>
      </w:r>
      <w:r>
        <w:rPr>
          <w:rFonts w:hint="eastAsia" w:ascii="仿宋_GB2312" w:hAnsi="仿宋_GB2312" w:eastAsia="仿宋_GB2312" w:cs="仿宋_GB2312"/>
          <w:color w:val="000000" w:themeColor="text1"/>
          <w:spacing w:val="-5"/>
          <w:sz w:val="30"/>
          <w:szCs w:val="30"/>
          <w:lang w:eastAsia="zh-CN"/>
          <w14:textFill>
            <w14:solidFill>
              <w14:schemeClr w14:val="tx1"/>
            </w14:solidFill>
          </w14:textFill>
        </w:rPr>
        <w:t>：</w:t>
      </w:r>
      <w:r>
        <w:rPr>
          <w:rFonts w:hint="eastAsia" w:ascii="仿宋_GB2312" w:hAnsi="仿宋_GB2312" w:eastAsia="仿宋_GB2312" w:cs="仿宋_GB2312"/>
          <w:color w:val="000000" w:themeColor="text1"/>
          <w:spacing w:val="-5"/>
          <w:sz w:val="30"/>
          <w:szCs w:val="30"/>
          <w:lang w:val="en-US" w:eastAsia="zh-CN"/>
          <w14:textFill>
            <w14:solidFill>
              <w14:schemeClr w14:val="tx1"/>
            </w14:solidFill>
          </w14:textFill>
        </w:rPr>
        <w:t>一</w:t>
      </w:r>
      <w:r>
        <w:rPr>
          <w:rFonts w:hint="eastAsia" w:ascii="仿宋_GB2312" w:hAnsi="仿宋_GB2312" w:eastAsia="仿宋_GB2312" w:cs="仿宋_GB2312"/>
          <w:color w:val="000000" w:themeColor="text1"/>
          <w:spacing w:val="-5"/>
          <w:sz w:val="30"/>
          <w:szCs w:val="30"/>
          <w14:textFill>
            <w14:solidFill>
              <w14:schemeClr w14:val="tx1"/>
            </w14:solidFill>
          </w14:textFill>
        </w:rPr>
        <w:t>般</w:t>
      </w:r>
      <w:r>
        <w:rPr>
          <w:rFonts w:hint="eastAsia" w:ascii="Times New Roman" w:hAnsi="Times New Roman" w:eastAsia="仿宋_GB2312" w:cs="Times New Roman"/>
          <w:snapToGrid w:val="0"/>
          <w:color w:val="000000"/>
          <w:kern w:val="0"/>
          <w:sz w:val="28"/>
          <w:szCs w:val="28"/>
          <w:lang w:val="en-US" w:eastAsia="zh-CN"/>
        </w:rPr>
        <w:t>18</w:t>
      </w:r>
      <w:r>
        <w:rPr>
          <w:rFonts w:hint="eastAsia" w:ascii="仿宋_GB2312" w:hAnsi="仿宋_GB2312" w:eastAsia="仿宋_GB2312" w:cs="仿宋_GB2312"/>
          <w:color w:val="000000" w:themeColor="text1"/>
          <w:spacing w:val="-5"/>
          <w:sz w:val="30"/>
          <w:szCs w:val="30"/>
          <w14:textFill>
            <w14:solidFill>
              <w14:schemeClr w14:val="tx1"/>
            </w14:solidFill>
          </w14:textFill>
        </w:rPr>
        <w:t>学时计为</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5"/>
          <w:sz w:val="30"/>
          <w:szCs w:val="30"/>
          <w14:textFill>
            <w14:solidFill>
              <w14:schemeClr w14:val="tx1"/>
            </w14:solidFill>
          </w14:textFill>
        </w:rPr>
        <w:t>个学分，总学分一般不少于</w:t>
      </w:r>
      <w:r>
        <w:rPr>
          <w:rFonts w:hint="eastAsia" w:ascii="Times New Roman" w:hAnsi="Times New Roman" w:eastAsia="仿宋_GB2312" w:cs="Times New Roman"/>
          <w:snapToGrid w:val="0"/>
          <w:color w:val="000000"/>
          <w:kern w:val="0"/>
          <w:sz w:val="28"/>
          <w:szCs w:val="28"/>
          <w:lang w:val="en-US" w:eastAsia="zh-CN"/>
        </w:rPr>
        <w:t>200</w:t>
      </w:r>
      <w:bookmarkStart w:id="35" w:name="_GoBack"/>
      <w:bookmarkEnd w:id="35"/>
      <w:r>
        <w:rPr>
          <w:rFonts w:hint="eastAsia" w:ascii="Times New Roman" w:hAnsi="Times New Roman" w:eastAsia="仿宋_GB2312" w:cs="Times New Roman"/>
          <w:snapToGrid w:val="0"/>
          <w:color w:val="000000"/>
          <w:kern w:val="0"/>
          <w:sz w:val="28"/>
          <w:szCs w:val="28"/>
          <w:lang w:val="en-US" w:eastAsia="zh-CN"/>
        </w:rPr>
        <w:t>.5</w:t>
      </w:r>
      <w:r>
        <w:rPr>
          <w:rFonts w:hint="eastAsia" w:ascii="仿宋_GB2312" w:hAnsi="仿宋_GB2312" w:eastAsia="仿宋_GB2312" w:cs="仿宋_GB2312"/>
          <w:color w:val="000000" w:themeColor="text1"/>
          <w:spacing w:val="-6"/>
          <w:sz w:val="30"/>
          <w:szCs w:val="30"/>
          <w14:textFill>
            <w14:solidFill>
              <w14:schemeClr w14:val="tx1"/>
            </w14:solidFill>
          </w14:textFill>
        </w:rPr>
        <w:t>学分，军训、</w:t>
      </w:r>
      <w:r>
        <w:rPr>
          <w:rFonts w:hint="eastAsia" w:ascii="仿宋_GB2312" w:hAnsi="仿宋_GB2312" w:eastAsia="仿宋_GB2312" w:cs="仿宋_GB2312"/>
          <w:color w:val="000000" w:themeColor="text1"/>
          <w:spacing w:val="8"/>
          <w:sz w:val="30"/>
          <w:szCs w:val="30"/>
          <w14:textFill>
            <w14:solidFill>
              <w14:schemeClr w14:val="tx1"/>
            </w14:solidFill>
          </w14:textFill>
        </w:rPr>
        <w:t>入学教育、社会实践、毕业设计（或毕业论文</w:t>
      </w:r>
      <w:r>
        <w:rPr>
          <w:rFonts w:hint="eastAsia" w:ascii="仿宋_GB2312" w:hAnsi="仿宋_GB2312" w:eastAsia="仿宋_GB2312" w:cs="仿宋_GB2312"/>
          <w:color w:val="000000" w:themeColor="text1"/>
          <w:spacing w:val="7"/>
          <w:sz w:val="30"/>
          <w:szCs w:val="30"/>
          <w14:textFill>
            <w14:solidFill>
              <w14:schemeClr w14:val="tx1"/>
            </w14:solidFill>
          </w14:textFill>
        </w:rPr>
        <w:t>、毕业教育）等，以</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9"/>
          <w:sz w:val="30"/>
          <w:szCs w:val="30"/>
          <w14:textFill>
            <w14:solidFill>
              <w14:schemeClr w14:val="tx1"/>
            </w14:solidFill>
          </w14:textFill>
        </w:rPr>
        <w:t>周为</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9"/>
          <w:sz w:val="30"/>
          <w:szCs w:val="30"/>
          <w14:textFill>
            <w14:solidFill>
              <w14:schemeClr w14:val="tx1"/>
            </w14:solidFill>
          </w14:textFill>
        </w:rPr>
        <w:t>学分。</w:t>
      </w:r>
    </w:p>
    <w:p w14:paraId="458D4B4A">
      <w:pPr>
        <w:keepNext w:val="0"/>
        <w:keepLines w:val="0"/>
        <w:pageBreakBefore w:val="0"/>
        <w:wordWrap/>
        <w:overflowPunct/>
        <w:topLinePunct w:val="0"/>
        <w:bidi w:val="0"/>
        <w:spacing w:line="560" w:lineRule="exact"/>
        <w:ind w:left="0" w:right="529" w:firstLine="558"/>
        <w:jc w:val="both"/>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7"/>
          <w:sz w:val="30"/>
          <w:szCs w:val="30"/>
          <w14:textFill>
            <w14:solidFill>
              <w14:schemeClr w14:val="tx1"/>
            </w14:solidFill>
          </w14:textFill>
        </w:rPr>
        <w:t>公共基础课程学时一般占总学时的</w:t>
      </w:r>
      <w:r>
        <w:rPr>
          <w:rFonts w:hint="eastAsia" w:ascii="Times New Roman" w:hAnsi="Times New Roman" w:eastAsia="仿宋_GB2312" w:cs="Times New Roman"/>
          <w:snapToGrid w:val="0"/>
          <w:color w:val="000000"/>
          <w:kern w:val="0"/>
          <w:sz w:val="28"/>
          <w:szCs w:val="28"/>
          <w:lang w:val="en-US" w:eastAsia="zh-CN"/>
        </w:rPr>
        <w:t>1/3</w:t>
      </w:r>
      <w:r>
        <w:rPr>
          <w:rFonts w:hint="eastAsia" w:ascii="仿宋_GB2312" w:hAnsi="仿宋_GB2312" w:eastAsia="仿宋_GB2312" w:cs="仿宋_GB2312"/>
          <w:color w:val="000000" w:themeColor="text1"/>
          <w:spacing w:val="7"/>
          <w:sz w:val="30"/>
          <w:szCs w:val="30"/>
          <w14:textFill>
            <w14:solidFill>
              <w14:schemeClr w14:val="tx1"/>
            </w14:solidFill>
          </w14:textFill>
        </w:rPr>
        <w:t>，必须保证学生修完公共</w:t>
      </w:r>
      <w:r>
        <w:rPr>
          <w:rFonts w:hint="eastAsia" w:ascii="仿宋_GB2312" w:hAnsi="仿宋_GB2312" w:eastAsia="仿宋_GB2312" w:cs="仿宋_GB2312"/>
          <w:color w:val="000000" w:themeColor="text1"/>
          <w:spacing w:val="6"/>
          <w:sz w:val="30"/>
          <w:szCs w:val="30"/>
          <w14:textFill>
            <w14:solidFill>
              <w14:schemeClr w14:val="tx1"/>
            </w14:solidFill>
          </w14:textFill>
        </w:rPr>
        <w:t>基础必修课程的内容和总学时数。选修课教学时数占总学时的比例均</w:t>
      </w:r>
      <w:r>
        <w:rPr>
          <w:rFonts w:hint="eastAsia" w:ascii="仿宋_GB2312" w:hAnsi="仿宋_GB2312" w:eastAsia="仿宋_GB2312" w:cs="仿宋_GB2312"/>
          <w:color w:val="000000" w:themeColor="text1"/>
          <w:spacing w:val="2"/>
          <w:sz w:val="30"/>
          <w:szCs w:val="30"/>
          <w14:textFill>
            <w14:solidFill>
              <w14:schemeClr w14:val="tx1"/>
            </w14:solidFill>
          </w14:textFill>
        </w:rPr>
        <w:t>应不少于</w:t>
      </w:r>
      <w:r>
        <w:rPr>
          <w:rFonts w:hint="eastAsia" w:ascii="Times New Roman" w:hAnsi="Times New Roman" w:eastAsia="仿宋_GB2312" w:cs="Times New Roman"/>
          <w:snapToGrid w:val="0"/>
          <w:color w:val="000000"/>
          <w:kern w:val="0"/>
          <w:sz w:val="28"/>
          <w:szCs w:val="28"/>
          <w:lang w:val="en-US" w:eastAsia="zh-CN"/>
        </w:rPr>
        <w:t>10</w:t>
      </w:r>
      <w:r>
        <w:rPr>
          <w:rFonts w:hint="eastAsia" w:ascii="仿宋_GB2312" w:hAnsi="仿宋_GB2312" w:eastAsia="仿宋_GB2312" w:cs="仿宋_GB2312"/>
          <w:color w:val="000000" w:themeColor="text1"/>
          <w:spacing w:val="2"/>
          <w:sz w:val="30"/>
          <w:szCs w:val="30"/>
          <w14:textFill>
            <w14:solidFill>
              <w14:schemeClr w14:val="tx1"/>
            </w14:solidFill>
          </w14:textFill>
        </w:rPr>
        <w:t>%。</w:t>
      </w:r>
    </w:p>
    <w:p w14:paraId="7B943C98">
      <w:pPr>
        <w:keepNext w:val="0"/>
        <w:keepLines w:val="0"/>
        <w:pageBreakBefore w:val="0"/>
        <w:wordWrap/>
        <w:overflowPunct/>
        <w:topLinePunct w:val="0"/>
        <w:bidi w:val="0"/>
        <w:spacing w:line="560" w:lineRule="exact"/>
        <w:ind w:left="0" w:right="529" w:firstLine="572"/>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4"/>
          <w:sz w:val="30"/>
          <w:szCs w:val="30"/>
          <w14:textFill>
            <w14:solidFill>
              <w14:schemeClr w14:val="tx1"/>
            </w14:solidFill>
          </w14:textFill>
        </w:rPr>
        <w:t>学生顶岗实习一般为</w:t>
      </w:r>
      <w:r>
        <w:rPr>
          <w:rFonts w:hint="eastAsia" w:ascii="Times New Roman" w:hAnsi="Times New Roman" w:eastAsia="仿宋_GB2312" w:cs="Times New Roman"/>
          <w:snapToGrid w:val="0"/>
          <w:color w:val="000000"/>
          <w:kern w:val="0"/>
          <w:sz w:val="28"/>
          <w:szCs w:val="28"/>
          <w:lang w:val="en-US" w:eastAsia="zh-CN"/>
        </w:rPr>
        <w:t>6</w:t>
      </w:r>
      <w:r>
        <w:rPr>
          <w:rFonts w:hint="eastAsia" w:ascii="仿宋_GB2312" w:hAnsi="仿宋_GB2312" w:eastAsia="仿宋_GB2312" w:cs="仿宋_GB2312"/>
          <w:color w:val="000000" w:themeColor="text1"/>
          <w:spacing w:val="4"/>
          <w:sz w:val="30"/>
          <w:szCs w:val="30"/>
          <w14:textFill>
            <w14:solidFill>
              <w14:schemeClr w14:val="tx1"/>
            </w14:solidFill>
          </w14:textFill>
        </w:rPr>
        <w:t>个月，学校可根据实际情况，采取工学交</w:t>
      </w:r>
      <w:r>
        <w:rPr>
          <w:rFonts w:hint="eastAsia" w:ascii="仿宋_GB2312" w:hAnsi="仿宋_GB2312" w:eastAsia="仿宋_GB2312" w:cs="仿宋_GB2312"/>
          <w:color w:val="000000" w:themeColor="text1"/>
          <w:spacing w:val="6"/>
          <w:sz w:val="30"/>
          <w:szCs w:val="30"/>
          <w14:textFill>
            <w14:solidFill>
              <w14:schemeClr w14:val="tx1"/>
            </w14:solidFill>
          </w14:textFill>
        </w:rPr>
        <w:t>替、多学期、分段式等多种形式组织实施。</w:t>
      </w:r>
    </w:p>
    <w:p w14:paraId="2AFDCF75">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（二）教学安排建议</w:t>
      </w:r>
    </w:p>
    <w:p w14:paraId="698649C8">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1.教学活动时间总体分配</w:t>
      </w:r>
    </w:p>
    <w:tbl>
      <w:tblPr>
        <w:tblStyle w:val="10"/>
        <w:tblW w:w="960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12"/>
        <w:gridCol w:w="971"/>
        <w:gridCol w:w="971"/>
        <w:gridCol w:w="971"/>
        <w:gridCol w:w="971"/>
        <w:gridCol w:w="971"/>
        <w:gridCol w:w="971"/>
        <w:gridCol w:w="971"/>
      </w:tblGrid>
      <w:tr w14:paraId="41E5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812"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10C922F">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b/>
                <w:color w:val="000000" w:themeColor="text1"/>
                <w:sz w:val="28"/>
                <w:szCs w:val="28"/>
                <w14:textFill>
                  <w14:solidFill>
                    <w14:schemeClr w14:val="tx1"/>
                  </w14:solidFill>
                </w14:textFill>
              </w:rPr>
            </w:pPr>
            <w:r>
              <w:rPr>
                <w:rFonts w:hint="eastAsia" w:ascii="仿宋_GB2312" w:hAnsi="仿宋_GB2312" w:eastAsia="仿宋_GB2312" w:cs="仿宋_GB2312"/>
                <w:b/>
                <w:color w:val="000000" w:themeColor="text1"/>
                <w:sz w:val="28"/>
                <w:szCs w:val="28"/>
                <w:lang w:eastAsia="zh-CN"/>
                <w14:textFill>
                  <w14:solidFill>
                    <w14:schemeClr w14:val="tx1"/>
                  </w14:solidFill>
                </w14:textFill>
              </w:rPr>
              <w:t>学期</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EE0CE7">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b/>
                <w:color w:val="000000" w:themeColor="text1"/>
                <w:sz w:val="28"/>
                <w:szCs w:val="28"/>
                <w:lang w:eastAsia="zh-CN"/>
                <w14:textFill>
                  <w14:solidFill>
                    <w14:schemeClr w14:val="tx1"/>
                  </w14:solidFill>
                </w14:textFill>
              </w:rPr>
            </w:pPr>
            <w:r>
              <w:rPr>
                <w:rFonts w:hint="eastAsia" w:ascii="仿宋_GB2312" w:hAnsi="仿宋_GB2312" w:eastAsia="仿宋_GB2312" w:cs="仿宋_GB2312"/>
                <w:b/>
                <w:color w:val="000000" w:themeColor="text1"/>
                <w:sz w:val="28"/>
                <w:szCs w:val="28"/>
                <w:lang w:eastAsia="zh-CN"/>
                <w14:textFill>
                  <w14:solidFill>
                    <w14:schemeClr w14:val="tx1"/>
                  </w14:solidFill>
                </w14:textFill>
              </w:rPr>
              <w:t>一</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4E0F5DB">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b/>
                <w:color w:val="000000" w:themeColor="text1"/>
                <w:sz w:val="28"/>
                <w:szCs w:val="28"/>
                <w:lang w:eastAsia="zh-CN"/>
                <w14:textFill>
                  <w14:solidFill>
                    <w14:schemeClr w14:val="tx1"/>
                  </w14:solidFill>
                </w14:textFill>
              </w:rPr>
            </w:pPr>
            <w:r>
              <w:rPr>
                <w:rFonts w:hint="eastAsia" w:ascii="仿宋_GB2312" w:hAnsi="仿宋_GB2312" w:eastAsia="仿宋_GB2312" w:cs="仿宋_GB2312"/>
                <w:b/>
                <w:color w:val="000000" w:themeColor="text1"/>
                <w:sz w:val="28"/>
                <w:szCs w:val="28"/>
                <w:lang w:eastAsia="zh-CN"/>
                <w14:textFill>
                  <w14:solidFill>
                    <w14:schemeClr w14:val="tx1"/>
                  </w14:solidFill>
                </w14:textFill>
              </w:rPr>
              <w:t>二</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CCD310F">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b/>
                <w:color w:val="000000" w:themeColor="text1"/>
                <w:sz w:val="28"/>
                <w:szCs w:val="28"/>
                <w:lang w:eastAsia="zh-CN"/>
                <w14:textFill>
                  <w14:solidFill>
                    <w14:schemeClr w14:val="tx1"/>
                  </w14:solidFill>
                </w14:textFill>
              </w:rPr>
            </w:pPr>
            <w:r>
              <w:rPr>
                <w:rFonts w:hint="eastAsia" w:ascii="仿宋_GB2312" w:hAnsi="仿宋_GB2312" w:eastAsia="仿宋_GB2312" w:cs="仿宋_GB2312"/>
                <w:b/>
                <w:color w:val="000000" w:themeColor="text1"/>
                <w:sz w:val="28"/>
                <w:szCs w:val="28"/>
                <w:lang w:eastAsia="zh-CN"/>
                <w14:textFill>
                  <w14:solidFill>
                    <w14:schemeClr w14:val="tx1"/>
                  </w14:solidFill>
                </w14:textFill>
              </w:rPr>
              <w:t>三</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261E164">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b/>
                <w:color w:val="000000" w:themeColor="text1"/>
                <w:sz w:val="28"/>
                <w:szCs w:val="28"/>
                <w:lang w:eastAsia="zh-CN"/>
                <w14:textFill>
                  <w14:solidFill>
                    <w14:schemeClr w14:val="tx1"/>
                  </w14:solidFill>
                </w14:textFill>
              </w:rPr>
            </w:pPr>
            <w:r>
              <w:rPr>
                <w:rFonts w:hint="eastAsia" w:ascii="仿宋_GB2312" w:hAnsi="仿宋_GB2312" w:eastAsia="仿宋_GB2312" w:cs="仿宋_GB2312"/>
                <w:b/>
                <w:color w:val="000000" w:themeColor="text1"/>
                <w:sz w:val="28"/>
                <w:szCs w:val="28"/>
                <w:lang w:eastAsia="zh-CN"/>
                <w14:textFill>
                  <w14:solidFill>
                    <w14:schemeClr w14:val="tx1"/>
                  </w14:solidFill>
                </w14:textFill>
              </w:rPr>
              <w:t>四</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FAFA87A">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b/>
                <w:color w:val="000000" w:themeColor="text1"/>
                <w:sz w:val="28"/>
                <w:szCs w:val="28"/>
                <w:lang w:eastAsia="zh-CN"/>
                <w14:textFill>
                  <w14:solidFill>
                    <w14:schemeClr w14:val="tx1"/>
                  </w14:solidFill>
                </w14:textFill>
              </w:rPr>
            </w:pPr>
            <w:r>
              <w:rPr>
                <w:rFonts w:hint="eastAsia" w:ascii="仿宋_GB2312" w:hAnsi="仿宋_GB2312" w:eastAsia="仿宋_GB2312" w:cs="仿宋_GB2312"/>
                <w:b/>
                <w:color w:val="000000" w:themeColor="text1"/>
                <w:sz w:val="28"/>
                <w:szCs w:val="28"/>
                <w:lang w:eastAsia="zh-CN"/>
                <w14:textFill>
                  <w14:solidFill>
                    <w14:schemeClr w14:val="tx1"/>
                  </w14:solidFill>
                </w14:textFill>
              </w:rPr>
              <w:t>五</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3459708">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b/>
                <w:color w:val="000000" w:themeColor="text1"/>
                <w:sz w:val="28"/>
                <w:szCs w:val="28"/>
                <w:lang w:eastAsia="zh-CN"/>
                <w14:textFill>
                  <w14:solidFill>
                    <w14:schemeClr w14:val="tx1"/>
                  </w14:solidFill>
                </w14:textFill>
              </w:rPr>
            </w:pPr>
            <w:r>
              <w:rPr>
                <w:rFonts w:hint="eastAsia" w:ascii="仿宋_GB2312" w:hAnsi="仿宋_GB2312" w:eastAsia="仿宋_GB2312" w:cs="仿宋_GB2312"/>
                <w:b/>
                <w:color w:val="000000" w:themeColor="text1"/>
                <w:sz w:val="28"/>
                <w:szCs w:val="28"/>
                <w:lang w:eastAsia="zh-CN"/>
                <w14:textFill>
                  <w14:solidFill>
                    <w14:schemeClr w14:val="tx1"/>
                  </w14:solidFill>
                </w14:textFill>
              </w:rPr>
              <w:t>六</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A5AE1F7">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b/>
                <w:color w:val="000000" w:themeColor="text1"/>
                <w:sz w:val="28"/>
                <w:szCs w:val="28"/>
                <w:lang w:eastAsia="zh-CN"/>
                <w14:textFill>
                  <w14:solidFill>
                    <w14:schemeClr w14:val="tx1"/>
                  </w14:solidFill>
                </w14:textFill>
              </w:rPr>
            </w:pPr>
            <w:r>
              <w:rPr>
                <w:rFonts w:hint="eastAsia" w:ascii="仿宋_GB2312" w:hAnsi="仿宋_GB2312" w:eastAsia="仿宋_GB2312" w:cs="仿宋_GB2312"/>
                <w:b/>
                <w:color w:val="000000" w:themeColor="text1"/>
                <w:sz w:val="28"/>
                <w:szCs w:val="28"/>
                <w:lang w:eastAsia="zh-CN"/>
                <w14:textFill>
                  <w14:solidFill>
                    <w14:schemeClr w14:val="tx1"/>
                  </w14:solidFill>
                </w14:textFill>
              </w:rPr>
              <w:t>小计</w:t>
            </w:r>
          </w:p>
        </w:tc>
      </w:tr>
      <w:tr w14:paraId="52FF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8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AF44C6E">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bidi="ar"/>
                <w14:textFill>
                  <w14:solidFill>
                    <w14:schemeClr w14:val="tx1"/>
                  </w14:solidFill>
                </w14:textFill>
              </w:rPr>
              <w:t>军训</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CC6BC01">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7ADD23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358066C">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80C7DC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17188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71BBD058">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E9A3ED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w:t>
            </w:r>
          </w:p>
        </w:tc>
      </w:tr>
      <w:tr w14:paraId="2F3C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8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9EABA52">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bidi="ar"/>
                <w14:textFill>
                  <w14:solidFill>
                    <w14:schemeClr w14:val="tx1"/>
                  </w14:solidFill>
                </w14:textFill>
              </w:rPr>
              <w:t>课堂教学</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C54480C">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17</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7655D78">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18</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559B17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19</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882CF96">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18</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7172E5A">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3E6B828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12</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EE5D05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84</w:t>
            </w:r>
          </w:p>
        </w:tc>
      </w:tr>
      <w:tr w14:paraId="674F8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8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6135E35">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bidi="ar"/>
                <w14:textFill>
                  <w14:solidFill>
                    <w14:schemeClr w14:val="tx1"/>
                  </w14:solidFill>
                </w14:textFill>
              </w:rPr>
              <w:t>劳动周/社会实践周</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6EE8B16">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0B1ED9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044C80F">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56790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A0DB8A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4C4C10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8</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4B0772">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10</w:t>
            </w:r>
          </w:p>
        </w:tc>
      </w:tr>
      <w:tr w14:paraId="16CA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8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0807FB9">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bidi="ar"/>
                <w14:textFill>
                  <w14:solidFill>
                    <w14:schemeClr w14:val="tx1"/>
                  </w14:solidFill>
                </w14:textFill>
              </w:rPr>
              <w:t>认识实习/岗位实习</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C439CEF">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46198A">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E40CBA1">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927D7A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B775CD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20</w:t>
            </w:r>
          </w:p>
        </w:tc>
        <w:tc>
          <w:tcPr>
            <w:tcW w:w="971"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A10967B">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931DC5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20</w:t>
            </w:r>
          </w:p>
        </w:tc>
      </w:tr>
      <w:tr w14:paraId="786F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812"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3A32FAC">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bidi="ar"/>
                <w14:textFill>
                  <w14:solidFill>
                    <w14:schemeClr w14:val="tx1"/>
                  </w14:solidFill>
                </w14:textFill>
              </w:rPr>
              <w:t>机动</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60A08E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15122E">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4CF8F0E">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CD941E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10873A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F1F85C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A39B499">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4</w:t>
            </w:r>
          </w:p>
        </w:tc>
      </w:tr>
      <w:tr w14:paraId="1F4F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812"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895003F">
            <w:pPr>
              <w:keepNext w:val="0"/>
              <w:keepLines w:val="0"/>
              <w:pageBreakBefore w:val="0"/>
              <w:wordWrap/>
              <w:overflowPunct/>
              <w:topLinePunct w:val="0"/>
              <w:bidi w:val="0"/>
              <w:spacing w:line="540" w:lineRule="exact"/>
              <w:ind w:left="0" w:firstLine="0" w:firstLineChars="0"/>
              <w:jc w:val="center"/>
              <w:textAlignment w:val="center"/>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bidi="ar"/>
                <w14:textFill>
                  <w14:solidFill>
                    <w14:schemeClr w14:val="tx1"/>
                  </w14:solidFill>
                </w14:textFill>
              </w:rPr>
              <w:t>合计</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5C32FAF">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20</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3C46B45">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20</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645DD0F">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20</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0B6A9AF">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20</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634ADD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20</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3B64F39">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20</w:t>
            </w:r>
          </w:p>
        </w:tc>
        <w:tc>
          <w:tcPr>
            <w:tcW w:w="97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A71A2B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Times New Roman" w:hAnsi="Times New Roman" w:eastAsia="仿宋_GB2312" w:cs="Times New Roman"/>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120</w:t>
            </w:r>
          </w:p>
        </w:tc>
      </w:tr>
    </w:tbl>
    <w:p w14:paraId="021A8D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snapToGrid w:val="0"/>
          <w:color w:val="000000" w:themeColor="text1"/>
          <w:spacing w:val="-1"/>
          <w:kern w:val="0"/>
          <w:sz w:val="30"/>
          <w:szCs w:val="30"/>
          <w:lang w:val="en-US" w:eastAsia="zh-CN" w:bidi="ar-SA"/>
          <w14:textFill>
            <w14:solidFill>
              <w14:schemeClr w14:val="tx1"/>
            </w14:solidFill>
          </w14:textFill>
        </w:rPr>
      </w:pPr>
      <w:r>
        <w:rPr>
          <w:rFonts w:hint="eastAsia" w:ascii="仿宋_GB2312" w:hAnsi="仿宋_GB2312" w:eastAsia="仿宋_GB2312" w:cs="仿宋_GB2312"/>
          <w:snapToGrid w:val="0"/>
          <w:color w:val="000000" w:themeColor="text1"/>
          <w:spacing w:val="-1"/>
          <w:kern w:val="0"/>
          <w:sz w:val="30"/>
          <w:szCs w:val="30"/>
          <w:lang w:val="en-US" w:eastAsia="zh-CN" w:bidi="ar-SA"/>
          <w14:textFill>
            <w14:solidFill>
              <w14:schemeClr w14:val="tx1"/>
            </w14:solidFill>
          </w14:textFill>
        </w:rPr>
        <w:t>专业教学活动周数分配表（教学进度安排表）单位：周</w:t>
      </w:r>
    </w:p>
    <w:p w14:paraId="2A105D10">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2.专业各类课程学时分配</w:t>
      </w:r>
    </w:p>
    <w:tbl>
      <w:tblPr>
        <w:tblStyle w:val="10"/>
        <w:tblW w:w="96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0"/>
        <w:gridCol w:w="1110"/>
        <w:gridCol w:w="1625"/>
        <w:gridCol w:w="1380"/>
        <w:gridCol w:w="1335"/>
        <w:gridCol w:w="1340"/>
        <w:gridCol w:w="1080"/>
      </w:tblGrid>
      <w:tr w14:paraId="08F2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0FB06FA2">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课程</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br w:type="textWrapping"/>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类型</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39E8847B">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公共</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br w:type="textWrapping"/>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基础课</w:t>
            </w:r>
          </w:p>
        </w:tc>
        <w:tc>
          <w:tcPr>
            <w:tcW w:w="5680"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47C3E702">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auto"/>
                <w:sz w:val="28"/>
                <w:szCs w:val="28"/>
                <w:lang w:val="en-US" w:eastAsia="zh-CN"/>
              </w:rPr>
              <w:t>专业课</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9849C7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合计</w:t>
            </w:r>
          </w:p>
        </w:tc>
      </w:tr>
      <w:tr w14:paraId="6914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0" w:hRule="atLeast"/>
          <w:jc w:val="center"/>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531FBCF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4F4A86B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p>
        </w:tc>
        <w:tc>
          <w:tcPr>
            <w:tcW w:w="162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9AC541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专业</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br w:type="textWrapping"/>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基础课</w:t>
            </w:r>
          </w:p>
        </w:tc>
        <w:tc>
          <w:tcPr>
            <w:tcW w:w="13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D5688CE">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专业</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br w:type="textWrapping"/>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核心课</w:t>
            </w:r>
          </w:p>
        </w:tc>
        <w:tc>
          <w:tcPr>
            <w:tcW w:w="133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5D1ECB6">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专业</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br w:type="textWrapping"/>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拓展课</w:t>
            </w:r>
          </w:p>
        </w:tc>
        <w:tc>
          <w:tcPr>
            <w:tcW w:w="1340" w:type="dxa"/>
            <w:tcBorders>
              <w:top w:val="single" w:color="000000" w:sz="4" w:space="0"/>
              <w:left w:val="single" w:color="000000" w:sz="4" w:space="0"/>
              <w:bottom w:val="single" w:color="000000" w:sz="4" w:space="0"/>
              <w:right w:val="nil"/>
            </w:tcBorders>
            <w:shd w:val="clear" w:color="auto" w:fill="D9E1F4"/>
            <w:vAlign w:val="center"/>
          </w:tcPr>
          <w:p w14:paraId="62F7F47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综合实训实习课</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15B37E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both"/>
              <w:textAlignment w:val="baseline"/>
              <w:rPr>
                <w:rFonts w:hint="eastAsia" w:ascii="仿宋_GB2312" w:hAnsi="仿宋_GB2312" w:eastAsia="仿宋_GB2312" w:cs="仿宋_GB2312"/>
                <w:b/>
                <w:bCs/>
                <w:color w:val="000000" w:themeColor="text1"/>
                <w:sz w:val="28"/>
                <w:szCs w:val="28"/>
                <w14:textFill>
                  <w14:solidFill>
                    <w14:schemeClr w14:val="tx1"/>
                  </w14:solidFill>
                </w14:textFill>
              </w:rPr>
            </w:pPr>
          </w:p>
        </w:tc>
      </w:tr>
      <w:tr w14:paraId="2D4C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4D6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学时</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1E6">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1346</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BED9">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732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460A">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720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6D5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288</w:t>
            </w:r>
          </w:p>
        </w:tc>
        <w:tc>
          <w:tcPr>
            <w:tcW w:w="1340" w:type="dxa"/>
            <w:tcBorders>
              <w:top w:val="single" w:color="000000" w:sz="4" w:space="0"/>
              <w:left w:val="single" w:color="000000" w:sz="4" w:space="0"/>
              <w:bottom w:val="single" w:color="000000" w:sz="4" w:space="0"/>
              <w:right w:val="nil"/>
            </w:tcBorders>
            <w:shd w:val="clear" w:color="auto" w:fill="auto"/>
            <w:noWrap/>
            <w:vAlign w:val="center"/>
          </w:tcPr>
          <w:p w14:paraId="0EDE4135">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840</w:t>
            </w:r>
          </w:p>
        </w:tc>
        <w:tc>
          <w:tcPr>
            <w:tcW w:w="10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4E28A8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3926</w:t>
            </w:r>
          </w:p>
        </w:tc>
      </w:tr>
      <w:tr w14:paraId="0062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A125">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val="0"/>
                <w:bCs w:val="0"/>
                <w:color w:val="000000" w:themeColor="text1"/>
                <w:sz w:val="28"/>
                <w:szCs w:val="28"/>
                <w14:textFill>
                  <w14:solidFill>
                    <w14:schemeClr w14:val="tx1"/>
                  </w14:solidFill>
                </w14:textFill>
              </w:rPr>
            </w:pP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所占总学</w:t>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br w:type="textWrapping"/>
            </w:r>
            <w:r>
              <w:rPr>
                <w:rFonts w:hint="eastAsia" w:ascii="仿宋_GB2312" w:hAnsi="仿宋_GB2312" w:eastAsia="仿宋_GB2312" w:cs="仿宋_GB2312"/>
                <w:b w:val="0"/>
                <w:bCs w:val="0"/>
                <w:color w:val="000000" w:themeColor="text1"/>
                <w:sz w:val="28"/>
                <w:szCs w:val="28"/>
                <w:lang w:val="en-US" w:eastAsia="zh-CN"/>
                <w14:textFill>
                  <w14:solidFill>
                    <w14:schemeClr w14:val="tx1"/>
                  </w14:solidFill>
                </w14:textFill>
              </w:rPr>
              <w:t>时比例%</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F318">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34%</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850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19%</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A4C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18%</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C54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8%</w:t>
            </w:r>
          </w:p>
        </w:tc>
        <w:tc>
          <w:tcPr>
            <w:tcW w:w="1340" w:type="dxa"/>
            <w:tcBorders>
              <w:top w:val="single" w:color="000000" w:sz="4" w:space="0"/>
              <w:left w:val="single" w:color="000000" w:sz="4" w:space="0"/>
              <w:bottom w:val="single" w:color="000000" w:sz="4" w:space="0"/>
              <w:right w:val="nil"/>
            </w:tcBorders>
            <w:shd w:val="clear" w:color="auto" w:fill="auto"/>
            <w:noWrap/>
            <w:vAlign w:val="center"/>
          </w:tcPr>
          <w:p w14:paraId="2571B3A4">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Times New Roman" w:hAnsi="Times New Roman" w:eastAsia="仿宋_GB2312" w:cs="Times New Roman"/>
                <w:snapToGrid w:val="0"/>
                <w:color w:val="000000"/>
                <w:kern w:val="0"/>
                <w:sz w:val="28"/>
                <w:szCs w:val="28"/>
                <w:lang w:val="en-US" w:eastAsia="zh-CN"/>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09082AC">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default" w:ascii="仿宋_GB2312" w:hAnsi="仿宋_GB2312" w:eastAsia="仿宋_GB2312" w:cs="仿宋_GB2312"/>
                <w:b w:val="0"/>
                <w:bCs w:val="0"/>
                <w:color w:val="000000" w:themeColor="text1"/>
                <w:sz w:val="28"/>
                <w:szCs w:val="28"/>
                <w:lang w:val="en-US" w:eastAsia="zh-CN"/>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100%</w:t>
            </w:r>
          </w:p>
        </w:tc>
      </w:tr>
    </w:tbl>
    <w:p w14:paraId="2B535493">
      <w:pPr>
        <w:keepNext w:val="0"/>
        <w:keepLines w:val="0"/>
        <w:pageBreakBefore w:val="0"/>
        <w:numPr>
          <w:ilvl w:val="0"/>
          <w:numId w:val="0"/>
        </w:numPr>
        <w:wordWrap/>
        <w:overflowPunct/>
        <w:topLinePunct w:val="0"/>
        <w:bidi w:val="0"/>
        <w:spacing w:line="540" w:lineRule="exact"/>
        <w:ind w:left="0" w:leftChars="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sectPr>
          <w:footerReference r:id="rId6" w:type="default"/>
          <w:pgSz w:w="11906" w:h="16838"/>
          <w:pgMar w:top="1440" w:right="1080" w:bottom="1440" w:left="1080" w:header="851" w:footer="992" w:gutter="0"/>
          <w:pgNumType w:fmt="decimal" w:start="1"/>
          <w:cols w:space="425" w:num="1"/>
          <w:docGrid w:type="lines" w:linePitch="312" w:charSpace="0"/>
        </w:sectPr>
      </w:pPr>
    </w:p>
    <w:p w14:paraId="4217F33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000000" w:themeColor="text1"/>
          <w:sz w:val="30"/>
          <w:szCs w:val="30"/>
          <w14:textFill>
            <w14:solidFill>
              <w14:schemeClr w14:val="tx1"/>
            </w14:solidFill>
          </w14:textFill>
        </w:rPr>
      </w:pPr>
      <w:r>
        <w:rPr>
          <w:rFonts w:hint="eastAsia" w:ascii="仿宋_GB2312" w:hAnsi="仿宋_GB2312" w:eastAsia="仿宋_GB2312" w:cs="仿宋_GB2312"/>
          <w:b/>
          <w:bCs/>
          <w:color w:val="000000" w:themeColor="text1"/>
          <w:sz w:val="30"/>
          <w:szCs w:val="30"/>
          <w14:textFill>
            <w14:solidFill>
              <w14:schemeClr w14:val="tx1"/>
            </w14:solidFill>
          </w14:textFill>
        </w:rPr>
        <w:t>广西工艺美术学校</w:t>
      </w:r>
      <w:r>
        <w:rPr>
          <w:rFonts w:hint="eastAsia" w:ascii="仿宋_GB2312" w:hAnsi="仿宋_GB2312" w:eastAsia="仿宋_GB2312" w:cs="仿宋_GB2312"/>
          <w:b/>
          <w:bCs/>
          <w:color w:val="000000" w:themeColor="text1"/>
          <w:sz w:val="30"/>
          <w:szCs w:val="30"/>
          <w:lang w:eastAsia="zh-CN"/>
          <w14:textFill>
            <w14:solidFill>
              <w14:schemeClr w14:val="tx1"/>
            </w14:solidFill>
          </w14:textFill>
        </w:rPr>
        <w:t>中西面点</w:t>
      </w:r>
      <w:r>
        <w:rPr>
          <w:rFonts w:hint="eastAsia" w:ascii="仿宋_GB2312" w:hAnsi="仿宋_GB2312" w:eastAsia="仿宋_GB2312" w:cs="仿宋_GB2312"/>
          <w:b/>
          <w:bCs/>
          <w:color w:val="000000" w:themeColor="text1"/>
          <w:sz w:val="30"/>
          <w:szCs w:val="30"/>
          <w14:textFill>
            <w14:solidFill>
              <w14:schemeClr w14:val="tx1"/>
            </w14:solidFill>
          </w14:textFill>
        </w:rPr>
        <w:t>专业（三年制）课程设置及学时安排</w:t>
      </w:r>
    </w:p>
    <w:tbl>
      <w:tblPr>
        <w:tblStyle w:val="10"/>
        <w:tblW w:w="505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4"/>
        <w:gridCol w:w="390"/>
        <w:gridCol w:w="437"/>
        <w:gridCol w:w="412"/>
        <w:gridCol w:w="2041"/>
        <w:gridCol w:w="665"/>
        <w:gridCol w:w="681"/>
        <w:gridCol w:w="649"/>
        <w:gridCol w:w="650"/>
        <w:gridCol w:w="726"/>
        <w:gridCol w:w="510"/>
        <w:gridCol w:w="510"/>
        <w:gridCol w:w="510"/>
        <w:gridCol w:w="510"/>
        <w:gridCol w:w="510"/>
        <w:gridCol w:w="510"/>
      </w:tblGrid>
      <w:tr w14:paraId="6D47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F76E7">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课程分类</w:t>
            </w:r>
          </w:p>
        </w:tc>
        <w:tc>
          <w:tcPr>
            <w:tcW w:w="143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2A3A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课程名称</w:t>
            </w:r>
          </w:p>
        </w:tc>
        <w:tc>
          <w:tcPr>
            <w:tcW w:w="3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0D6E4">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课程</w:t>
            </w: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性质</w:t>
            </w:r>
          </w:p>
        </w:tc>
        <w:tc>
          <w:tcPr>
            <w:tcW w:w="9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555A8">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学时</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9CA2F">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学分</w:t>
            </w:r>
          </w:p>
        </w:tc>
        <w:tc>
          <w:tcPr>
            <w:tcW w:w="15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F775E7">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各学期周数或学时分配</w:t>
            </w:r>
          </w:p>
        </w:tc>
      </w:tr>
      <w:tr w14:paraId="61446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2463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43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B39B8">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20BF9">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2FEC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总学时</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7C32B">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理论</w:t>
            </w: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学时</w:t>
            </w:r>
          </w:p>
        </w:tc>
        <w:tc>
          <w:tcPr>
            <w:tcW w:w="3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39581">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实践</w:t>
            </w: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学时</w:t>
            </w: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09CE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FF58B">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w:t>
            </w:r>
          </w:p>
        </w:tc>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28B03">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w:t>
            </w:r>
          </w:p>
        </w:tc>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A84B3">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3</w:t>
            </w:r>
          </w:p>
        </w:tc>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87D91">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4</w:t>
            </w:r>
          </w:p>
        </w:tc>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6B333">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5</w:t>
            </w:r>
          </w:p>
        </w:tc>
        <w:tc>
          <w:tcPr>
            <w:tcW w:w="2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BA932">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6</w:t>
            </w:r>
          </w:p>
        </w:tc>
      </w:tr>
      <w:tr w14:paraId="4831F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7DB5D">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43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47C4B">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4BEF6">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5621D">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EBFCD">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310E">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B15C9">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AD0EE">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8EF9D">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258CE">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0B3D8">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3BD70">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E73FF">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r>
      <w:tr w14:paraId="026F7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444A8">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43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A7F52">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2D4B1">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91CA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0CA45">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4B8DF">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5CFEE">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497B6">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20</w:t>
            </w:r>
            <w:r>
              <w:rPr>
                <w:rStyle w:val="18"/>
                <w:rFonts w:hint="eastAsia" w:ascii="仿宋_GB2312" w:hAnsi="仿宋_GB2312" w:eastAsia="仿宋_GB2312" w:cs="仿宋_GB2312"/>
                <w:color w:val="000000" w:themeColor="text1"/>
                <w:sz w:val="20"/>
                <w:szCs w:val="20"/>
                <w:lang w:val="en-US" w:eastAsia="zh-CN" w:bidi="ar"/>
                <w14:textFill>
                  <w14:solidFill>
                    <w14:schemeClr w14:val="tx1"/>
                  </w14:solidFill>
                </w14:textFill>
              </w:rPr>
              <w:t>周</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D2BC1">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20</w:t>
            </w:r>
            <w:r>
              <w:rPr>
                <w:rStyle w:val="18"/>
                <w:rFonts w:hint="eastAsia" w:ascii="仿宋_GB2312" w:hAnsi="仿宋_GB2312" w:eastAsia="仿宋_GB2312" w:cs="仿宋_GB2312"/>
                <w:color w:val="000000" w:themeColor="text1"/>
                <w:sz w:val="20"/>
                <w:szCs w:val="20"/>
                <w:lang w:val="en-US" w:eastAsia="zh-CN" w:bidi="ar"/>
                <w14:textFill>
                  <w14:solidFill>
                    <w14:schemeClr w14:val="tx1"/>
                  </w14:solidFill>
                </w14:textFill>
              </w:rPr>
              <w:t>周</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49AED">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20</w:t>
            </w:r>
            <w:r>
              <w:rPr>
                <w:rStyle w:val="18"/>
                <w:rFonts w:hint="eastAsia" w:ascii="仿宋_GB2312" w:hAnsi="仿宋_GB2312" w:eastAsia="仿宋_GB2312" w:cs="仿宋_GB2312"/>
                <w:color w:val="000000" w:themeColor="text1"/>
                <w:sz w:val="20"/>
                <w:szCs w:val="20"/>
                <w:lang w:val="en-US" w:eastAsia="zh-CN" w:bidi="ar"/>
                <w14:textFill>
                  <w14:solidFill>
                    <w14:schemeClr w14:val="tx1"/>
                  </w14:solidFill>
                </w14:textFill>
              </w:rPr>
              <w:t>周</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4C745">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20</w:t>
            </w:r>
            <w:r>
              <w:rPr>
                <w:rStyle w:val="18"/>
                <w:rFonts w:hint="eastAsia" w:ascii="仿宋_GB2312" w:hAnsi="仿宋_GB2312" w:eastAsia="仿宋_GB2312" w:cs="仿宋_GB2312"/>
                <w:color w:val="000000" w:themeColor="text1"/>
                <w:sz w:val="20"/>
                <w:szCs w:val="20"/>
                <w:lang w:val="en-US" w:eastAsia="zh-CN" w:bidi="ar"/>
                <w14:textFill>
                  <w14:solidFill>
                    <w14:schemeClr w14:val="tx1"/>
                  </w14:solidFill>
                </w14:textFill>
              </w:rPr>
              <w:t>周</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EC52E">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20</w:t>
            </w:r>
            <w:r>
              <w:rPr>
                <w:rStyle w:val="18"/>
                <w:rFonts w:hint="eastAsia" w:ascii="仿宋_GB2312" w:hAnsi="仿宋_GB2312" w:eastAsia="仿宋_GB2312" w:cs="仿宋_GB2312"/>
                <w:color w:val="000000" w:themeColor="text1"/>
                <w:sz w:val="20"/>
                <w:szCs w:val="20"/>
                <w:lang w:val="en-US" w:eastAsia="zh-CN" w:bidi="ar"/>
                <w14:textFill>
                  <w14:solidFill>
                    <w14:schemeClr w14:val="tx1"/>
                  </w14:solidFill>
                </w14:textFill>
              </w:rPr>
              <w:t>周</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7ABAE">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20</w:t>
            </w:r>
            <w:r>
              <w:rPr>
                <w:rStyle w:val="18"/>
                <w:rFonts w:hint="eastAsia" w:ascii="仿宋_GB2312" w:hAnsi="仿宋_GB2312" w:eastAsia="仿宋_GB2312" w:cs="仿宋_GB2312"/>
                <w:color w:val="000000" w:themeColor="text1"/>
                <w:sz w:val="20"/>
                <w:szCs w:val="20"/>
                <w:lang w:val="en-US" w:eastAsia="zh-CN" w:bidi="ar"/>
                <w14:textFill>
                  <w14:solidFill>
                    <w14:schemeClr w14:val="tx1"/>
                  </w14:solidFill>
                </w14:textFill>
              </w:rPr>
              <w:t>周</w:t>
            </w:r>
          </w:p>
        </w:tc>
      </w:tr>
      <w:tr w14:paraId="4F1CB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3F0CD">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公共基础课</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FBD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E8616">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思政课程</w:t>
            </w: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E43C">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中国特色社会主义</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3917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3DC7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8274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9EFF0">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F4C4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40CC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854D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8D9D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C019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7138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DFB29">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02432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0D90">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DBDB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C5D9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22CC">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心理健康与职业生涯</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4D25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49ED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BC18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7E023">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F08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B84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83B2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9969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735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F772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71B3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0C2C8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F6DF0">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D3F6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w:t>
            </w: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CB42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19DAE">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哲学与人生</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A69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2534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0545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EFF41">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0BBB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8CA1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4D43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E519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87F2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F33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58D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046D7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CAE7B">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4490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1E10">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0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1734B">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职业道德与法治</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18A3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CBE4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4059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B512F">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F679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285C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A584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88A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10DE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D1DB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DCC69">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5514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A3023">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75CB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w:t>
            </w: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90FCD">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47152">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（拓展模块）国家安全教育、民族团结进步教育等</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A4B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选修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A1EC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7751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15C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ABF6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6D7F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8A4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D5258">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83ED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A764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3F38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r>
      <w:tr w14:paraId="77E12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473E2">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BC8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2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23CB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0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CAEBF">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习近平新时代中国特色社会主义思想读本</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1609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F66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F3A1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92098">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BF11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391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2D0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7861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2C92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7D15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FF71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157F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C277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0F53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9BCEF4">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语文（基础模块+</w:t>
            </w:r>
            <w:r>
              <w:rPr>
                <w:rStyle w:val="19"/>
                <w:rFonts w:hint="eastAsia" w:ascii="仿宋_GB2312" w:hAnsi="仿宋_GB2312" w:eastAsia="仿宋_GB2312" w:cs="仿宋_GB2312"/>
                <w:color w:val="000000" w:themeColor="text1"/>
                <w:sz w:val="20"/>
                <w:szCs w:val="20"/>
                <w:lang w:val="en-US" w:eastAsia="zh-CN" w:bidi="ar"/>
                <w14:textFill>
                  <w14:solidFill>
                    <w14:schemeClr w14:val="tx1"/>
                  </w14:solidFill>
                </w14:textFill>
              </w:rPr>
              <w:t>职业模块）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23E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458E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198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2180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144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374B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E95E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672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1DB8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DC06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5CE8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510B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E83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r>
      <w:tr w14:paraId="6E93C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C53ED">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55BD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8</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753DA">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语文（拓展模块）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6C0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选修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A3B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61A9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E84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3BC6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A68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7A468">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B7B6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7A379">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B7B1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3BF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r>
      <w:tr w14:paraId="2D709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933A2">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0137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9</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EB5C8">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历史（基础模块）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B158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0187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0160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E1AD">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4B06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D497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BBC8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F83D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869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21EF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0EBE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1BCB7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C4384">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69F5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A5A24D">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历史（拓展模块）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CF95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选修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10E7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CE44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98108">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ECDE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0FC3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BD9A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2B82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5FD1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4726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E9AB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r>
      <w:tr w14:paraId="33B60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47A10">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33F2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11</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94FF5">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英语（基础模块+</w:t>
            </w:r>
            <w:r>
              <w:rPr>
                <w:rStyle w:val="19"/>
                <w:rFonts w:hint="eastAsia" w:ascii="仿宋_GB2312" w:hAnsi="仿宋_GB2312" w:eastAsia="仿宋_GB2312" w:cs="仿宋_GB2312"/>
                <w:color w:val="000000" w:themeColor="text1"/>
                <w:sz w:val="20"/>
                <w:szCs w:val="20"/>
                <w:lang w:val="en-US" w:eastAsia="zh-CN" w:bidi="ar"/>
                <w14:textFill>
                  <w14:solidFill>
                    <w14:schemeClr w14:val="tx1"/>
                  </w14:solidFill>
                </w14:textFill>
              </w:rPr>
              <w:t>职业模块）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07E6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22C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144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6C6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7F9D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714D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A4D9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D52E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1890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75C4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F1C28">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2F6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5E037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EEA4F">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5FCE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12</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8F714">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英语（拓展模块）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06BF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选修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F084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058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E352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F05D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AB89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F085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6BB0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63029">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220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4119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r>
      <w:tr w14:paraId="77408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D93D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5892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13</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5A38C">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数学（基础模块）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FD4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F5B1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5297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AEA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1332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633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0D5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7260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D2DE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80B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7765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7EAE7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EA7A9">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E1B8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14</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C52433">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数学（拓展模块）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C10D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选修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9874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7F2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2E75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940E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DEE3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496B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DD70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52D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FF35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4A5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r>
      <w:tr w14:paraId="67124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1238B">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0DAD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15</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64A6B">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信息技术（基础模块）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5CD0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81D0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5D75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340A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D140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3E8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BEA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7E5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0519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D7E8">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89B2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690A7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37DB6">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D2CC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16</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5CD44">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信息技术（拓展模块）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8CF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选修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1DF5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BFC2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3D53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1FA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1299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B3AA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7DB4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DC3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ABC4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2F3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r>
      <w:tr w14:paraId="4801D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E2314">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476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17</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874B8">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体育与健康（基础模块）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F3A4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01E4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27A6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5B00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6627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FFA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88B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FFD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0917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FD2D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50FB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208EC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58BF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EBD2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D1C4A">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体育与健康（拓展模块）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A4B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选修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CEB8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90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8134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07F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6E07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9AEE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0B5A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4BB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4D0A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76BD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CDB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14F16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2BCD1">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17C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19</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804D7">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艺术（基础模块）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2AA1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5F6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B928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8EF9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7E82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C740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4BB5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402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8C01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FB92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117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221FC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B3DF3">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BCF3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20</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7B8EA4">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艺术（拓展模块）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3A41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选修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6F98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2E6C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415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8516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B53D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79B4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EB5B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9DE0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D30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F032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54301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7D91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4483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21</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1D8638">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劳动教育</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9E1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4A8B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865C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19409">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E5CB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0760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414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65018">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6CFB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6B10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7192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0EA7C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E3605">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8033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22</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AD21D">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安全教育</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7884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D04E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802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AD192">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75A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0.5</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BA3C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D38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531D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AD2C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AB16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BE3D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3978A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DC37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7EA5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23</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F10EB">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军事训练和国防教育</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8FC1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93C1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AC3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AA99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5E0E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B12A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C2DD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DDDC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2263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38BC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792F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10B6E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D0AB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43B1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24</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CAD24">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人工智能通识教育</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958A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F3611">
            <w:pPr>
              <w:keepNext w:val="0"/>
              <w:keepLines w:val="0"/>
              <w:widowControl/>
              <w:suppressLineNumbers w:val="0"/>
              <w:jc w:val="center"/>
              <w:textAlignment w:val="center"/>
              <w:rPr>
                <w:rFonts w:hint="default"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C526C">
            <w:pPr>
              <w:keepNext w:val="0"/>
              <w:keepLines w:val="0"/>
              <w:widowControl/>
              <w:suppressLineNumbers w:val="0"/>
              <w:jc w:val="center"/>
              <w:textAlignment w:val="center"/>
              <w:rPr>
                <w:rFonts w:hint="default"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48382">
            <w:pPr>
              <w:keepNext w:val="0"/>
              <w:keepLines w:val="0"/>
              <w:widowControl/>
              <w:suppressLineNumbers w:val="0"/>
              <w:jc w:val="center"/>
              <w:textAlignment w:val="center"/>
              <w:rPr>
                <w:rFonts w:hint="default"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0E76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9A43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E558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1A47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E7C3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6BF1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DE68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28B14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36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DFE5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7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971F8D">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小计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4E44F">
            <w:pPr>
              <w:keepNext w:val="0"/>
              <w:keepLines w:val="0"/>
              <w:widowControl/>
              <w:suppressLineNumbers w:val="0"/>
              <w:jc w:val="center"/>
              <w:textAlignment w:val="center"/>
              <w:rPr>
                <w:rFonts w:hint="default"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1346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120C">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838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FCB03">
            <w:pPr>
              <w:keepNext w:val="0"/>
              <w:keepLines w:val="0"/>
              <w:widowControl/>
              <w:suppressLineNumbers w:val="0"/>
              <w:jc w:val="center"/>
              <w:textAlignment w:val="center"/>
              <w:rPr>
                <w:rFonts w:hint="default"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508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1AED3">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74.5</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A74CB">
            <w:pPr>
              <w:keepNext w:val="0"/>
              <w:keepLines w:val="0"/>
              <w:widowControl/>
              <w:suppressLineNumbers w:val="0"/>
              <w:jc w:val="center"/>
              <w:textAlignment w:val="center"/>
              <w:rPr>
                <w:rFonts w:hint="default"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19</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801D4">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997AD">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0370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45D2">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438A">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12</w:t>
            </w:r>
          </w:p>
        </w:tc>
      </w:tr>
      <w:tr w14:paraId="3BA59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9FE18">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专业课</w:t>
            </w:r>
          </w:p>
        </w:tc>
        <w:tc>
          <w:tcPr>
            <w:tcW w:w="1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9939F2">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专业基础课</w:t>
            </w: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F6DC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853BA">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食品原料知识</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1572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D8D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9DC7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F0AA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C469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7787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7C2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19018">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3FA2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8314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7FC8">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22D12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5F588">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4E746">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C6EF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FD938">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食品安全与法规</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CE7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FF2C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6FD9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36E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9768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FCA6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FE3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04B4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E14A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2B26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2069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1E7D7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3E278">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FD46A">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F654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C6E1F">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餐饮成本核算</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A987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1E9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F0A0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0E4E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3062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862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978F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687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64DF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179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29A6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6BA90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6407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37B43">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E28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D35A7">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饮食营养与卫生</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970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AF3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888B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6D6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D9D1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BF50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675B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2294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C96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F80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56CD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77828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DCA7F">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6701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3A0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3C4AC">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美术造型基础</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B046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90D3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480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6217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5F80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408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7B8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2657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3BC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0392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F760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F6E2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BB3E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4BACB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1678B">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7D382">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01A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C390A">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旅游概论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EAAE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C1A2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E99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A8C2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F3E9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E57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85D0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AA34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E06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2783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B674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65495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C90B9">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B232F">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7AC2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8E3B2">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服务礼仪</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05F9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2879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6750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7180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EE73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4840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4D56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2BB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6178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6B55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CD84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0DB47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5E868">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D1325">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03E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8</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6D65">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管理学</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65A6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1D77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7DD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598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599C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4A5E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D108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7E559">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2FCC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591F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1381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23DA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A4CBF">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4494A">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7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2C0E9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小计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92336">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732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6C08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324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8FC8">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408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40CFF">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38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25781">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E6F5A">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256D">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44764">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6499A">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79638">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r>
      <w:tr w14:paraId="0E81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548A3">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restart"/>
            <w:tcBorders>
              <w:top w:val="single" w:color="000000" w:sz="4" w:space="0"/>
              <w:left w:val="single" w:color="000000" w:sz="4" w:space="0"/>
              <w:right w:val="single" w:color="000000" w:sz="4" w:space="0"/>
            </w:tcBorders>
            <w:shd w:val="clear" w:color="auto" w:fill="auto"/>
            <w:vAlign w:val="center"/>
          </w:tcPr>
          <w:p w14:paraId="31A309A2">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核心课程</w:t>
            </w: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BB4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CB296">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中式面点制作</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3A89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E795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216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0486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C9FF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6EDE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D43A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2DB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A1FC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nil"/>
              <w:left w:val="nil"/>
              <w:bottom w:val="nil"/>
              <w:right w:val="nil"/>
            </w:tcBorders>
            <w:shd w:val="clear" w:color="auto" w:fill="auto"/>
            <w:vAlign w:val="center"/>
          </w:tcPr>
          <w:p w14:paraId="13425E3D">
            <w:pP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5499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11CE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3AC00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46B85">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000000" w:sz="4" w:space="0"/>
            </w:tcBorders>
            <w:shd w:val="clear" w:color="auto" w:fill="auto"/>
            <w:vAlign w:val="center"/>
          </w:tcPr>
          <w:p w14:paraId="67233FFE">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26A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AE38">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西式面点制作</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61AE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AB5A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144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1D3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989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ED13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04F3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5BC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410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BFEF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EEA7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3247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45D8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28AE9">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000000" w:sz="4" w:space="0"/>
            </w:tcBorders>
            <w:shd w:val="clear" w:color="auto" w:fill="auto"/>
            <w:vAlign w:val="center"/>
          </w:tcPr>
          <w:p w14:paraId="64FA9BB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1C62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B7E2">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蛋糕制作工艺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BD3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FFEF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144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440E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0940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C151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1C74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B17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6002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9894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1855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F02E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502A3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CBBBC">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000000" w:sz="4" w:space="0"/>
            </w:tcBorders>
            <w:shd w:val="clear" w:color="auto" w:fill="auto"/>
            <w:vAlign w:val="center"/>
          </w:tcPr>
          <w:p w14:paraId="100C493D">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9271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B1B77">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面包制作工艺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AB65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16B0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144</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75F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D4E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108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E922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3297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6F62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nil"/>
              <w:left w:val="nil"/>
              <w:bottom w:val="nil"/>
              <w:right w:val="nil"/>
            </w:tcBorders>
            <w:shd w:val="clear" w:color="auto" w:fill="auto"/>
            <w:vAlign w:val="center"/>
          </w:tcPr>
          <w:p w14:paraId="260FF3B0">
            <w:pP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7E3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E4E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D843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5AF4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46BB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000000" w:sz="4" w:space="0"/>
            </w:tcBorders>
            <w:shd w:val="clear" w:color="auto" w:fill="auto"/>
            <w:vAlign w:val="center"/>
          </w:tcPr>
          <w:p w14:paraId="3A30749E">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7541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w:t>
            </w:r>
          </w:p>
        </w:tc>
        <w:tc>
          <w:tcPr>
            <w:tcW w:w="1218"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C425">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非遗传统风味小吃制作</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8D5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7F9E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86B0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E4B8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52B4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2B33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6AE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5DD8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09E2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BA61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7139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2197E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CA815">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000000" w:sz="4" w:space="0"/>
            </w:tcBorders>
            <w:shd w:val="clear" w:color="auto" w:fill="auto"/>
            <w:vAlign w:val="center"/>
          </w:tcPr>
          <w:p w14:paraId="6816AF0F">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766" w:type="pct"/>
            <w:gridSpan w:val="4"/>
            <w:tcBorders>
              <w:top w:val="single" w:color="000000" w:sz="4" w:space="0"/>
              <w:left w:val="single" w:color="000000" w:sz="4" w:space="0"/>
              <w:right w:val="single" w:color="000000" w:sz="4" w:space="0"/>
            </w:tcBorders>
            <w:shd w:val="clear" w:color="auto" w:fill="auto"/>
            <w:vAlign w:val="center"/>
          </w:tcPr>
          <w:p w14:paraId="6D25B52C">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小计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D883">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720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41AC5">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180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8727B">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540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3D6FB">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40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E4EE5">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D81E">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DED96">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43B6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011B">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CB57">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r>
      <w:tr w14:paraId="33767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BE75A">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restart"/>
            <w:tcBorders>
              <w:top w:val="single" w:color="000000" w:sz="4" w:space="0"/>
              <w:left w:val="single" w:color="000000" w:sz="4" w:space="0"/>
              <w:right w:val="single" w:color="auto" w:sz="4" w:space="0"/>
            </w:tcBorders>
            <w:shd w:val="clear" w:color="auto" w:fill="auto"/>
            <w:vAlign w:val="center"/>
          </w:tcPr>
          <w:p w14:paraId="4F1504A6">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拓展课程</w:t>
            </w:r>
          </w:p>
        </w:tc>
        <w:tc>
          <w:tcPr>
            <w:tcW w:w="217" w:type="pct"/>
            <w:tcBorders>
              <w:top w:val="single" w:color="auto" w:sz="4" w:space="0"/>
              <w:left w:val="single" w:color="auto" w:sz="4" w:space="0"/>
              <w:bottom w:val="single" w:color="auto" w:sz="4" w:space="0"/>
              <w:right w:val="single" w:color="000000" w:sz="4" w:space="0"/>
            </w:tcBorders>
            <w:shd w:val="clear" w:color="auto" w:fill="auto"/>
            <w:vAlign w:val="center"/>
          </w:tcPr>
          <w:p w14:paraId="1268005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1218"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0AFE7ACC">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创意西点制作工艺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0E8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限选</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A34C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490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F9D5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AC35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721C">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76F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0EB8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102D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21B6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913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19C45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502D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auto" w:sz="4" w:space="0"/>
            </w:tcBorders>
            <w:shd w:val="clear" w:color="auto" w:fill="auto"/>
            <w:vAlign w:val="center"/>
          </w:tcPr>
          <w:p w14:paraId="3F628427">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auto" w:sz="4" w:space="0"/>
              <w:left w:val="single" w:color="auto" w:sz="4" w:space="0"/>
              <w:bottom w:val="single" w:color="auto" w:sz="4" w:space="0"/>
              <w:right w:val="single" w:color="000000" w:sz="4" w:space="0"/>
            </w:tcBorders>
            <w:shd w:val="clear" w:color="auto" w:fill="auto"/>
            <w:vAlign w:val="center"/>
          </w:tcPr>
          <w:p w14:paraId="3A4E9CB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1218"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1F517904">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咖啡饮料制作工艺/糖艺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C64A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限选</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BC83A">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97E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7085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DB42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FCC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5C5D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31D9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AE96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02F6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7E36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23713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E8DE5">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auto" w:sz="4" w:space="0"/>
            </w:tcBorders>
            <w:shd w:val="clear" w:color="auto" w:fill="auto"/>
            <w:vAlign w:val="center"/>
          </w:tcPr>
          <w:p w14:paraId="1C45A860">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auto" w:sz="4" w:space="0"/>
              <w:left w:val="single" w:color="auto" w:sz="4" w:space="0"/>
              <w:bottom w:val="single" w:color="auto" w:sz="4" w:space="0"/>
              <w:right w:val="single" w:color="000000" w:sz="4" w:space="0"/>
            </w:tcBorders>
            <w:shd w:val="clear" w:color="auto" w:fill="auto"/>
            <w:vAlign w:val="center"/>
          </w:tcPr>
          <w:p w14:paraId="3D7EC43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w:t>
            </w:r>
          </w:p>
        </w:tc>
        <w:tc>
          <w:tcPr>
            <w:tcW w:w="1218"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5B6B9183">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店铺创业实践/面塑</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60AB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限选</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62A8">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512C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6379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8488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EA70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BFED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2559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FB7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8DA8">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1F98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312D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69480">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auto" w:sz="4" w:space="0"/>
            </w:tcBorders>
            <w:shd w:val="clear" w:color="auto" w:fill="auto"/>
            <w:vAlign w:val="center"/>
          </w:tcPr>
          <w:p w14:paraId="18FF1BD3">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auto" w:sz="4" w:space="0"/>
              <w:left w:val="single" w:color="auto" w:sz="4" w:space="0"/>
              <w:bottom w:val="single" w:color="auto" w:sz="4" w:space="0"/>
              <w:right w:val="single" w:color="000000" w:sz="4" w:space="0"/>
            </w:tcBorders>
            <w:shd w:val="clear" w:color="auto" w:fill="auto"/>
            <w:vAlign w:val="center"/>
          </w:tcPr>
          <w:p w14:paraId="431DB94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1218"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5DBA907A">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AI面点短视频与新媒体运营</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0F88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限选</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B40AE">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72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2429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E3BC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527A6">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3E17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3705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nil"/>
              <w:left w:val="nil"/>
              <w:bottom w:val="nil"/>
              <w:right w:val="nil"/>
            </w:tcBorders>
            <w:shd w:val="clear" w:color="auto" w:fill="auto"/>
            <w:vAlign w:val="center"/>
          </w:tcPr>
          <w:p w14:paraId="1E6AD01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C1A2B">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06DC2">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8448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4</w:t>
            </w:r>
          </w:p>
        </w:tc>
      </w:tr>
      <w:tr w14:paraId="0BCCF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796E9">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right w:val="single" w:color="auto" w:sz="4" w:space="0"/>
            </w:tcBorders>
            <w:shd w:val="clear" w:color="auto" w:fill="auto"/>
            <w:vAlign w:val="center"/>
          </w:tcPr>
          <w:p w14:paraId="481D64CB">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auto" w:sz="4" w:space="0"/>
              <w:left w:val="single" w:color="auto" w:sz="4" w:space="0"/>
              <w:bottom w:val="single" w:color="auto" w:sz="4" w:space="0"/>
              <w:right w:val="single" w:color="000000" w:sz="4" w:space="0"/>
            </w:tcBorders>
            <w:shd w:val="clear" w:color="auto" w:fill="auto"/>
            <w:vAlign w:val="center"/>
          </w:tcPr>
          <w:p w14:paraId="6B085563">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5</w:t>
            </w:r>
          </w:p>
        </w:tc>
        <w:tc>
          <w:tcPr>
            <w:tcW w:w="1218"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7545DFAA">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职业礼仪</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173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限选</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5FC6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36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A8D0">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408A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9098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D9D9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59504">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B3781">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F3BEF">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668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41A5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082D8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D23DA">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93" w:type="pct"/>
            <w:vMerge w:val="continue"/>
            <w:tcBorders>
              <w:left w:val="single" w:color="000000" w:sz="4" w:space="0"/>
              <w:bottom w:val="single" w:color="000000" w:sz="4" w:space="0"/>
              <w:right w:val="single" w:color="auto" w:sz="4" w:space="0"/>
            </w:tcBorders>
            <w:shd w:val="clear" w:color="auto" w:fill="auto"/>
            <w:vAlign w:val="center"/>
          </w:tcPr>
          <w:p w14:paraId="6BCD78BD">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1766" w:type="pct"/>
            <w:gridSpan w:val="4"/>
            <w:tcBorders>
              <w:top w:val="single" w:color="auto" w:sz="4" w:space="0"/>
              <w:left w:val="single" w:color="auto" w:sz="4" w:space="0"/>
              <w:bottom w:val="single" w:color="auto" w:sz="4" w:space="0"/>
              <w:right w:val="single" w:color="000000" w:sz="4" w:space="0"/>
            </w:tcBorders>
            <w:shd w:val="clear" w:color="auto" w:fill="auto"/>
            <w:vAlign w:val="center"/>
          </w:tcPr>
          <w:p w14:paraId="4845F8D1">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小计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3C2A">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288</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33817">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90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BFF37">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198</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1C37">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16</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3276B">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435F">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EA8A4">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4</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2AAC7">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8</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AD45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B1C4">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4</w:t>
            </w:r>
          </w:p>
        </w:tc>
      </w:tr>
      <w:tr w14:paraId="3D5EF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369" w:type="pct"/>
            <w:gridSpan w:val="2"/>
            <w:vMerge w:val="restart"/>
            <w:tcBorders>
              <w:top w:val="single" w:color="000000" w:sz="4" w:space="0"/>
              <w:left w:val="single" w:color="000000" w:sz="4" w:space="0"/>
              <w:right w:val="single" w:color="auto" w:sz="4" w:space="0"/>
            </w:tcBorders>
            <w:shd w:val="clear" w:color="auto" w:fill="auto"/>
            <w:vAlign w:val="center"/>
          </w:tcPr>
          <w:p w14:paraId="430EE1F8">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实习实训</w:t>
            </w:r>
          </w:p>
        </w:tc>
        <w:tc>
          <w:tcPr>
            <w:tcW w:w="217" w:type="pct"/>
            <w:tcBorders>
              <w:top w:val="single" w:color="auto" w:sz="4" w:space="0"/>
              <w:left w:val="single" w:color="auto" w:sz="4" w:space="0"/>
              <w:bottom w:val="single" w:color="auto" w:sz="4" w:space="0"/>
              <w:right w:val="single" w:color="000000" w:sz="4" w:space="0"/>
            </w:tcBorders>
            <w:shd w:val="clear" w:color="auto" w:fill="auto"/>
            <w:vAlign w:val="center"/>
          </w:tcPr>
          <w:p w14:paraId="5E8DFDC2">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w:t>
            </w:r>
          </w:p>
        </w:tc>
        <w:tc>
          <w:tcPr>
            <w:tcW w:w="1218"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5BE53EB6">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岗位实习</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9F6D">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6948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600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113B9">
            <w:pPr>
              <w:jc w:val="cente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i w:val="0"/>
                <w:iCs w:val="0"/>
                <w:color w:val="000000" w:themeColor="text1"/>
                <w:sz w:val="20"/>
                <w:szCs w:val="20"/>
                <w:u w:val="none"/>
                <w:lang w:val="en-US" w:eastAsia="zh-CN"/>
                <w14:textFill>
                  <w14:solidFill>
                    <w14:schemeClr w14:val="tx1"/>
                  </w14:solidFill>
                </w14:textFill>
              </w:rPr>
              <w:t>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0F2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600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02855">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CB903">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6C139">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2F266">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1EA5">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149FC">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44DF">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r>
      <w:tr w14:paraId="255C9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369" w:type="pct"/>
            <w:gridSpan w:val="2"/>
            <w:vMerge w:val="continue"/>
            <w:tcBorders>
              <w:left w:val="single" w:color="000000" w:sz="4" w:space="0"/>
              <w:right w:val="single" w:color="auto" w:sz="4" w:space="0"/>
            </w:tcBorders>
            <w:shd w:val="clear" w:color="auto" w:fill="auto"/>
            <w:vAlign w:val="center"/>
          </w:tcPr>
          <w:p w14:paraId="65B8E2E5">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17" w:type="pct"/>
            <w:tcBorders>
              <w:top w:val="single" w:color="auto" w:sz="4" w:space="0"/>
              <w:left w:val="single" w:color="auto" w:sz="4" w:space="0"/>
              <w:bottom w:val="single" w:color="auto" w:sz="4" w:space="0"/>
              <w:right w:val="single" w:color="000000" w:sz="4" w:space="0"/>
            </w:tcBorders>
            <w:shd w:val="clear" w:color="auto" w:fill="auto"/>
            <w:vAlign w:val="center"/>
          </w:tcPr>
          <w:p w14:paraId="6B24732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w:t>
            </w:r>
          </w:p>
        </w:tc>
        <w:tc>
          <w:tcPr>
            <w:tcW w:w="1218" w:type="pct"/>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5C6397E0">
            <w:pPr>
              <w:keepNext w:val="0"/>
              <w:keepLines w:val="0"/>
              <w:widowControl/>
              <w:suppressLineNumbers w:val="0"/>
              <w:jc w:val="left"/>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毕业设计</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45AE4">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必修</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C592B">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240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19779">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3F81">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220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6B3C7">
            <w:pPr>
              <w:keepNext w:val="0"/>
              <w:keepLines w:val="0"/>
              <w:widowControl/>
              <w:suppressLineNumbers w:val="0"/>
              <w:jc w:val="center"/>
              <w:textAlignment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12</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1FBD">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67477">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C81DE">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36BA">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CB9A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2572E">
            <w:pPr>
              <w:keepNext w:val="0"/>
              <w:keepLines w:val="0"/>
              <w:widowControl/>
              <w:suppressLineNumbers w:val="0"/>
              <w:jc w:val="center"/>
              <w:textAlignment w:val="center"/>
              <w:rPr>
                <w:rFonts w:hint="default" w:ascii="仿宋_GB2312" w:hAnsi="仿宋_GB2312" w:eastAsia="仿宋_GB2312" w:cs="仿宋_GB2312"/>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i w:val="0"/>
                <w:iCs w:val="0"/>
                <w:color w:val="000000" w:themeColor="text1"/>
                <w:kern w:val="0"/>
                <w:sz w:val="20"/>
                <w:szCs w:val="20"/>
                <w:u w:val="none"/>
                <w:lang w:val="en-US" w:eastAsia="zh-CN" w:bidi="ar"/>
                <w14:textFill>
                  <w14:solidFill>
                    <w14:schemeClr w14:val="tx1"/>
                  </w14:solidFill>
                </w14:textFill>
              </w:rPr>
              <w:t>12</w:t>
            </w:r>
          </w:p>
        </w:tc>
      </w:tr>
      <w:tr w14:paraId="3EA53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9" w:type="pct"/>
            <w:gridSpan w:val="2"/>
            <w:vMerge w:val="continue"/>
            <w:tcBorders>
              <w:left w:val="single" w:color="000000" w:sz="4" w:space="0"/>
              <w:bottom w:val="single" w:color="000000" w:sz="4" w:space="0"/>
              <w:right w:val="single" w:color="auto" w:sz="4" w:space="0"/>
            </w:tcBorders>
            <w:shd w:val="clear" w:color="auto" w:fill="auto"/>
            <w:noWrap/>
            <w:vAlign w:val="center"/>
          </w:tcPr>
          <w:p w14:paraId="5A6A8622">
            <w:pPr>
              <w:jc w:val="both"/>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p>
        </w:tc>
        <w:tc>
          <w:tcPr>
            <w:tcW w:w="1766" w:type="pct"/>
            <w:gridSpan w:val="4"/>
            <w:tcBorders>
              <w:top w:val="single" w:color="auto" w:sz="4" w:space="0"/>
              <w:left w:val="single" w:color="auto" w:sz="4" w:space="0"/>
              <w:bottom w:val="single" w:color="auto" w:sz="4" w:space="0"/>
              <w:right w:val="single" w:color="000000" w:sz="4" w:space="0"/>
            </w:tcBorders>
            <w:shd w:val="clear" w:color="auto" w:fill="auto"/>
            <w:noWrap/>
            <w:vAlign w:val="center"/>
          </w:tcPr>
          <w:p w14:paraId="6A4E52F0">
            <w:pPr>
              <w:jc w:val="center"/>
              <w:rPr>
                <w:rFonts w:hint="eastAsia" w:ascii="仿宋_GB2312" w:hAnsi="仿宋_GB2312" w:eastAsia="仿宋_GB2312" w:cs="仿宋_GB2312"/>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小计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5085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840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B5CEB">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20</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E82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820</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3B156">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33</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82213">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9CC5C">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FB060">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3E47B">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A9B4E">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0</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E85F">
            <w:pPr>
              <w:keepNext w:val="0"/>
              <w:keepLines w:val="0"/>
              <w:widowControl/>
              <w:suppressLineNumbers w:val="0"/>
              <w:jc w:val="center"/>
              <w:textAlignment w:val="center"/>
              <w:rPr>
                <w:rFonts w:hint="default" w:ascii="仿宋_GB2312" w:hAnsi="仿宋_GB2312" w:eastAsia="仿宋_GB2312" w:cs="仿宋_GB2312"/>
                <w:b/>
                <w:bCs/>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12</w:t>
            </w:r>
          </w:p>
        </w:tc>
      </w:tr>
      <w:tr w14:paraId="2E04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213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08A30A">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合计</w:t>
            </w:r>
          </w:p>
        </w:tc>
        <w:tc>
          <w:tcPr>
            <w:tcW w:w="3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5A6CF">
            <w:pPr>
              <w:keepNext w:val="0"/>
              <w:keepLines w:val="0"/>
              <w:widowControl/>
              <w:suppressLineNumbers w:val="0"/>
              <w:jc w:val="center"/>
              <w:textAlignment w:val="center"/>
              <w:rPr>
                <w:rFonts w:hint="default" w:ascii="仿宋_GB2312" w:hAnsi="仿宋_GB2312" w:eastAsia="仿宋_GB2312" w:cs="仿宋_GB2312"/>
                <w:b/>
                <w:bCs/>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3926</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3FA93">
            <w:pPr>
              <w:keepNext w:val="0"/>
              <w:keepLines w:val="0"/>
              <w:widowControl/>
              <w:suppressLineNumbers w:val="0"/>
              <w:jc w:val="center"/>
              <w:textAlignment w:val="center"/>
              <w:rPr>
                <w:rFonts w:hint="default" w:ascii="仿宋_GB2312" w:hAnsi="仿宋_GB2312" w:eastAsia="仿宋_GB2312" w:cs="仿宋_GB2312"/>
                <w:b/>
                <w:bCs/>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1452</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CD3D">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lang w:val="en-US"/>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2474</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9CA51">
            <w:pPr>
              <w:keepNext w:val="0"/>
              <w:keepLines w:val="0"/>
              <w:widowControl/>
              <w:suppressLineNumbers w:val="0"/>
              <w:jc w:val="center"/>
              <w:textAlignment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0"/>
                <w:szCs w:val="20"/>
                <w:u w:val="none"/>
                <w:lang w:val="en-US" w:eastAsia="zh-CN" w:bidi="ar"/>
                <w14:textFill>
                  <w14:solidFill>
                    <w14:schemeClr w14:val="tx1"/>
                  </w14:solidFill>
                </w14:textFill>
              </w:rPr>
              <w:t>200.5</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F77AC">
            <w:pPr>
              <w:jc w:val="center"/>
              <w:rPr>
                <w:rFonts w:hint="default" w:ascii="仿宋_GB2312" w:hAnsi="仿宋_GB2312" w:eastAsia="仿宋_GB2312" w:cs="仿宋_GB2312"/>
                <w:b/>
                <w:bCs/>
                <w:i w:val="0"/>
                <w:iCs w:val="0"/>
                <w:color w:val="000000" w:themeColor="text1"/>
                <w:sz w:val="20"/>
                <w:szCs w:val="20"/>
                <w:u w:val="none"/>
                <w:lang w:val="en-US" w:eastAsia="zh-CN"/>
                <w14:textFill>
                  <w14:solidFill>
                    <w14:schemeClr w14:val="tx1"/>
                  </w14:solidFill>
                </w14:textFill>
              </w:rPr>
            </w:pPr>
            <w:r>
              <w:rPr>
                <w:rFonts w:hint="eastAsia" w:ascii="仿宋_GB2312" w:hAnsi="仿宋_GB2312" w:eastAsia="仿宋_GB2312" w:cs="仿宋_GB2312"/>
                <w:b/>
                <w:bCs/>
                <w:i w:val="0"/>
                <w:iCs w:val="0"/>
                <w:color w:val="000000" w:themeColor="text1"/>
                <w:sz w:val="20"/>
                <w:szCs w:val="20"/>
                <w:u w:val="none"/>
                <w:lang w:val="en-US" w:eastAsia="zh-CN"/>
                <w14:textFill>
                  <w14:solidFill>
                    <w14:schemeClr w14:val="tx1"/>
                  </w14:solidFill>
                </w14:textFill>
              </w:rPr>
              <w:t>39</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305CA">
            <w:pPr>
              <w:jc w:val="center"/>
              <w:rPr>
                <w:rFonts w:hint="eastAsia" w:ascii="仿宋_GB2312" w:hAnsi="仿宋_GB2312" w:eastAsia="仿宋_GB2312" w:cs="仿宋_GB2312"/>
                <w:b/>
                <w:bCs/>
                <w:i w:val="0"/>
                <w:iCs w:val="0"/>
                <w:color w:val="000000" w:themeColor="text1"/>
                <w:sz w:val="20"/>
                <w:szCs w:val="20"/>
                <w:u w:val="none"/>
                <w:lang w:val="en-US"/>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1D659">
            <w:pPr>
              <w:jc w:val="center"/>
              <w:rPr>
                <w:rFonts w:hint="eastAsia" w:ascii="仿宋_GB2312" w:hAnsi="仿宋_GB2312" w:eastAsia="仿宋_GB2312" w:cs="仿宋_GB2312"/>
                <w:b/>
                <w:bCs/>
                <w:i w:val="0"/>
                <w:iCs w:val="0"/>
                <w:color w:val="000000" w:themeColor="text1"/>
                <w:sz w:val="20"/>
                <w:szCs w:val="20"/>
                <w:u w:val="none"/>
                <w:lang w:val="en-US" w:eastAsia="zh-CN"/>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3170">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D888E">
            <w:pPr>
              <w:jc w:val="center"/>
              <w:rPr>
                <w:rFonts w:hint="eastAsia" w:ascii="仿宋_GB2312" w:hAnsi="仿宋_GB2312" w:eastAsia="仿宋_GB2312" w:cs="仿宋_GB2312"/>
                <w:b/>
                <w:bCs/>
                <w:i w:val="0"/>
                <w:iCs w:val="0"/>
                <w:color w:val="000000" w:themeColor="text1"/>
                <w:sz w:val="20"/>
                <w:szCs w:val="20"/>
                <w:u w:val="none"/>
                <w14:textFill>
                  <w14:solidFill>
                    <w14:schemeClr w14:val="tx1"/>
                  </w14:solidFill>
                </w14:textFill>
              </w:rPr>
            </w:pP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58F5">
            <w:pPr>
              <w:jc w:val="center"/>
              <w:rPr>
                <w:rFonts w:hint="eastAsia" w:ascii="仿宋_GB2312" w:hAnsi="仿宋_GB2312" w:eastAsia="仿宋_GB2312" w:cs="仿宋_GB2312"/>
                <w:b/>
                <w:bCs/>
                <w:i w:val="0"/>
                <w:iCs w:val="0"/>
                <w:color w:val="000000" w:themeColor="text1"/>
                <w:sz w:val="20"/>
                <w:szCs w:val="20"/>
                <w:u w:val="none"/>
                <w:lang w:val="en-US"/>
                <w14:textFill>
                  <w14:solidFill>
                    <w14:schemeClr w14:val="tx1"/>
                  </w14:solidFill>
                </w14:textFill>
              </w:rPr>
            </w:pPr>
          </w:p>
        </w:tc>
      </w:tr>
    </w:tbl>
    <w:p w14:paraId="266D11FF">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bookmarkStart w:id="19" w:name="_Toc28126"/>
      <w:r>
        <w:rPr>
          <w:rFonts w:hint="eastAsia" w:ascii="黑体" w:hAnsi="黑体" w:eastAsia="黑体" w:cs="黑体"/>
          <w:snapToGrid w:val="0"/>
          <w:color w:val="000000"/>
          <w:kern w:val="0"/>
          <w:sz w:val="28"/>
          <w:szCs w:val="28"/>
          <w:lang w:val="en-US" w:eastAsia="zh-CN"/>
        </w:rPr>
        <w:t>八、实施保障</w:t>
      </w:r>
      <w:bookmarkEnd w:id="19"/>
    </w:p>
    <w:p w14:paraId="78329DD8">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20" w:name="bookmark34"/>
      <w:bookmarkEnd w:id="20"/>
      <w:bookmarkStart w:id="21" w:name="_Toc22592"/>
      <w:r>
        <w:rPr>
          <w:rFonts w:hint="eastAsia" w:ascii="楷体_GB2312" w:hAnsi="楷体_GB2312" w:eastAsia="楷体_GB2312" w:cs="楷体_GB2312"/>
          <w:snapToGrid w:val="0"/>
          <w:color w:val="000000"/>
          <w:kern w:val="0"/>
          <w:sz w:val="28"/>
          <w:szCs w:val="28"/>
          <w:lang w:val="en-US" w:eastAsia="zh-CN"/>
        </w:rPr>
        <w:t>（一）师资队伍</w:t>
      </w:r>
      <w:bookmarkEnd w:id="21"/>
    </w:p>
    <w:p w14:paraId="212D73E1">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1.队伍结构</w:t>
      </w:r>
    </w:p>
    <w:p w14:paraId="282D8354">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（1）专业教学团队</w:t>
      </w:r>
    </w:p>
    <w:p w14:paraId="0A11304B">
      <w:pPr>
        <w:keepNext w:val="0"/>
        <w:keepLines w:val="0"/>
        <w:pageBreakBefore w:val="0"/>
        <w:wordWrap/>
        <w:overflowPunct/>
        <w:topLinePunct w:val="0"/>
        <w:bidi w:val="0"/>
        <w:spacing w:line="560" w:lineRule="exact"/>
        <w:ind w:left="0" w:right="86" w:firstLine="565"/>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专任教师队伍的数量、学历和职称要符合国家有关规定，形成合</w:t>
      </w:r>
      <w:r>
        <w:rPr>
          <w:rFonts w:hint="eastAsia" w:ascii="仿宋_GB2312" w:hAnsi="仿宋_GB2312" w:eastAsia="仿宋_GB2312" w:cs="仿宋_GB2312"/>
          <w:color w:val="000000" w:themeColor="text1"/>
          <w:spacing w:val="2"/>
          <w:sz w:val="30"/>
          <w:szCs w:val="30"/>
          <w14:textFill>
            <w14:solidFill>
              <w14:schemeClr w14:val="tx1"/>
            </w14:solidFill>
          </w14:textFill>
        </w:rPr>
        <w:t>理的梯队结构。学生数与专任教师数比例不高于</w:t>
      </w:r>
      <w:r>
        <w:rPr>
          <w:rFonts w:hint="eastAsia" w:ascii="Times New Roman" w:hAnsi="Times New Roman" w:eastAsia="仿宋_GB2312" w:cs="Times New Roman"/>
          <w:snapToGrid w:val="0"/>
          <w:color w:val="000000"/>
          <w:kern w:val="0"/>
          <w:sz w:val="28"/>
          <w:szCs w:val="28"/>
          <w:lang w:val="en-US" w:eastAsia="zh-CN"/>
        </w:rPr>
        <w:t>20</w:t>
      </w:r>
      <w:r>
        <w:rPr>
          <w:rFonts w:hint="eastAsia" w:ascii="仿宋_GB2312" w:hAnsi="仿宋_GB2312" w:eastAsia="仿宋_GB2312" w:cs="仿宋_GB2312"/>
          <w:color w:val="000000" w:themeColor="text1"/>
          <w:spacing w:val="2"/>
          <w:sz w:val="30"/>
          <w:szCs w:val="30"/>
          <w14:textFill>
            <w14:solidFill>
              <w14:schemeClr w14:val="tx1"/>
            </w14:solidFill>
          </w14:textFill>
        </w:rPr>
        <w:t>∶</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2"/>
          <w:sz w:val="30"/>
          <w:szCs w:val="30"/>
          <w14:textFill>
            <w14:solidFill>
              <w14:schemeClr w14:val="tx1"/>
            </w14:solidFill>
          </w14:textFill>
        </w:rPr>
        <w:t>，专任教师中</w:t>
      </w:r>
      <w:r>
        <w:rPr>
          <w:rFonts w:hint="eastAsia" w:ascii="仿宋_GB2312" w:hAnsi="仿宋_GB2312" w:eastAsia="仿宋_GB2312" w:cs="仿宋_GB2312"/>
          <w:color w:val="000000" w:themeColor="text1"/>
          <w:spacing w:val="8"/>
          <w:sz w:val="30"/>
          <w:szCs w:val="30"/>
          <w14:textFill>
            <w14:solidFill>
              <w14:schemeClr w14:val="tx1"/>
            </w14:solidFill>
          </w14:textFill>
        </w:rPr>
        <w:t>具有高级专业技术职务人数不低于20%。“</w:t>
      </w:r>
      <w:r>
        <w:rPr>
          <w:rFonts w:hint="eastAsia" w:ascii="仿宋_GB2312" w:hAnsi="仿宋_GB2312" w:eastAsia="仿宋_GB2312" w:cs="仿宋_GB2312"/>
          <w:color w:val="000000" w:themeColor="text1"/>
          <w:spacing w:val="7"/>
          <w:sz w:val="30"/>
          <w:szCs w:val="30"/>
          <w14:textFill>
            <w14:solidFill>
              <w14:schemeClr w14:val="tx1"/>
            </w14:solidFill>
          </w14:textFill>
        </w:rPr>
        <w:t>双师型”教师占专业课教</w:t>
      </w:r>
      <w:r>
        <w:rPr>
          <w:rFonts w:hint="eastAsia" w:ascii="仿宋_GB2312" w:hAnsi="仿宋_GB2312" w:eastAsia="仿宋_GB2312" w:cs="仿宋_GB2312"/>
          <w:color w:val="000000" w:themeColor="text1"/>
          <w:spacing w:val="4"/>
          <w:sz w:val="30"/>
          <w:szCs w:val="30"/>
          <w14:textFill>
            <w14:solidFill>
              <w14:schemeClr w14:val="tx1"/>
            </w14:solidFill>
          </w14:textFill>
        </w:rPr>
        <w:t>师数比例应不低于</w:t>
      </w:r>
      <w:r>
        <w:rPr>
          <w:rFonts w:hint="eastAsia" w:ascii="Times New Roman" w:hAnsi="Times New Roman" w:eastAsia="仿宋_GB2312" w:cs="Times New Roman"/>
          <w:snapToGrid w:val="0"/>
          <w:color w:val="000000"/>
          <w:kern w:val="0"/>
          <w:sz w:val="28"/>
          <w:szCs w:val="28"/>
          <w:lang w:val="en-US" w:eastAsia="zh-CN"/>
        </w:rPr>
        <w:t>50</w:t>
      </w:r>
      <w:r>
        <w:rPr>
          <w:rFonts w:hint="eastAsia" w:ascii="仿宋_GB2312" w:hAnsi="仿宋_GB2312" w:eastAsia="仿宋_GB2312" w:cs="仿宋_GB2312"/>
          <w:color w:val="000000" w:themeColor="text1"/>
          <w:spacing w:val="4"/>
          <w:sz w:val="30"/>
          <w:szCs w:val="30"/>
          <w14:textFill>
            <w14:solidFill>
              <w14:schemeClr w14:val="tx1"/>
            </w14:solidFill>
          </w14:textFill>
        </w:rPr>
        <w:t>%。</w:t>
      </w:r>
    </w:p>
    <w:p w14:paraId="0AEAE7DC">
      <w:pPr>
        <w:keepNext w:val="0"/>
        <w:keepLines w:val="0"/>
        <w:pageBreakBefore w:val="0"/>
        <w:wordWrap/>
        <w:overflowPunct/>
        <w:topLinePunct w:val="0"/>
        <w:bidi w:val="0"/>
        <w:spacing w:line="560" w:lineRule="exact"/>
        <w:ind w:left="0" w:right="85" w:firstLine="585"/>
        <w:jc w:val="both"/>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5"/>
          <w:sz w:val="30"/>
          <w:szCs w:val="30"/>
          <w14:textFill>
            <w14:solidFill>
              <w14:schemeClr w14:val="tx1"/>
            </w14:solidFill>
          </w14:textFill>
        </w:rPr>
        <w:t>能够整合校内外优质人才资源，选聘企业高级技术人员担任行业</w:t>
      </w:r>
      <w:r>
        <w:rPr>
          <w:rFonts w:hint="eastAsia" w:ascii="仿宋_GB2312" w:hAnsi="仿宋_GB2312" w:eastAsia="仿宋_GB2312" w:cs="仿宋_GB2312"/>
          <w:color w:val="000000" w:themeColor="text1"/>
          <w:spacing w:val="7"/>
          <w:sz w:val="30"/>
          <w:szCs w:val="30"/>
          <w14:textFill>
            <w14:solidFill>
              <w14:schemeClr w14:val="tx1"/>
            </w14:solidFill>
          </w14:textFill>
        </w:rPr>
        <w:t>导师，组建校企合作、专兼结合的教师团队，</w:t>
      </w:r>
      <w:r>
        <w:rPr>
          <w:rFonts w:hint="eastAsia" w:ascii="仿宋_GB2312" w:hAnsi="仿宋_GB2312" w:eastAsia="仿宋_GB2312" w:cs="仿宋_GB2312"/>
          <w:color w:val="000000" w:themeColor="text1"/>
          <w:spacing w:val="6"/>
          <w:sz w:val="30"/>
          <w:szCs w:val="30"/>
          <w14:textFill>
            <w14:solidFill>
              <w14:schemeClr w14:val="tx1"/>
            </w14:solidFill>
          </w14:textFill>
        </w:rPr>
        <w:t>建立定期开展专业（学</w:t>
      </w:r>
      <w:r>
        <w:rPr>
          <w:rFonts w:hint="eastAsia" w:ascii="仿宋_GB2312" w:hAnsi="仿宋_GB2312" w:eastAsia="仿宋_GB2312" w:cs="仿宋_GB2312"/>
          <w:color w:val="000000" w:themeColor="text1"/>
          <w:spacing w:val="1"/>
          <w:sz w:val="30"/>
          <w:szCs w:val="30"/>
          <w14:textFill>
            <w14:solidFill>
              <w14:schemeClr w14:val="tx1"/>
            </w14:solidFill>
          </w14:textFill>
        </w:rPr>
        <w:t>科）教研机制。</w:t>
      </w:r>
    </w:p>
    <w:p w14:paraId="0238C577">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w:t>
      </w:r>
      <w:r>
        <w:rPr>
          <w:rFonts w:hint="eastAsia" w:ascii="Times New Roman" w:hAnsi="Times New Roman" w:eastAsia="仿宋_GB2312" w:cs="Times New Roman"/>
          <w:snapToGrid w:val="0"/>
          <w:color w:val="000000"/>
          <w:kern w:val="0"/>
          <w:sz w:val="28"/>
          <w:szCs w:val="28"/>
          <w:lang w:val="en-US" w:eastAsia="zh-CN"/>
        </w:rPr>
        <w:t>2</w:t>
      </w:r>
      <w:r>
        <w:rPr>
          <w:rFonts w:hint="eastAsia" w:ascii="楷体_GB2312" w:hAnsi="楷体_GB2312" w:eastAsia="楷体_GB2312" w:cs="楷体_GB2312"/>
          <w:snapToGrid w:val="0"/>
          <w:color w:val="000000"/>
          <w:kern w:val="0"/>
          <w:sz w:val="28"/>
          <w:szCs w:val="28"/>
          <w:lang w:val="en-US" w:eastAsia="zh-CN"/>
        </w:rPr>
        <w:t>）专业带头人</w:t>
      </w:r>
    </w:p>
    <w:p w14:paraId="3A844C00">
      <w:pPr>
        <w:keepNext w:val="0"/>
        <w:keepLines w:val="0"/>
        <w:pageBreakBefore w:val="0"/>
        <w:wordWrap/>
        <w:overflowPunct/>
        <w:topLinePunct w:val="0"/>
        <w:bidi w:val="0"/>
        <w:spacing w:line="560" w:lineRule="exact"/>
        <w:ind w:left="0" w:firstLine="577"/>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具有本专业及相关专业副高及以上职称和较强的实践能力，能广泛联系行业企业，了解国内外餐饮行业发展新趋势，准确把握行业企业用人需求，具有组织开展专业建设、教科研工作和企业服务的能力，在本专业改革发展中起引领作用。</w:t>
      </w:r>
    </w:p>
    <w:p w14:paraId="5D70E749">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（3）专任教师</w:t>
      </w:r>
    </w:p>
    <w:p w14:paraId="0F5A9343">
      <w:pPr>
        <w:keepNext w:val="0"/>
        <w:keepLines w:val="0"/>
        <w:pageBreakBefore w:val="0"/>
        <w:wordWrap/>
        <w:overflowPunct/>
        <w:topLinePunct w:val="0"/>
        <w:bidi w:val="0"/>
        <w:spacing w:line="560" w:lineRule="exact"/>
        <w:ind w:left="0" w:right="85" w:firstLine="572"/>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具有教师资格证书；具有烹饪与营养教育、烹饪与餐饮管理或食品科学与工程等相关专业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社会服务；专业教师每年至少</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6"/>
          <w:sz w:val="30"/>
          <w:szCs w:val="30"/>
          <w14:textFill>
            <w14:solidFill>
              <w14:schemeClr w14:val="tx1"/>
            </w14:solidFill>
          </w14:textFill>
        </w:rPr>
        <w:t>个月在企业或生产性实训基地锻炼，每</w:t>
      </w:r>
      <w:r>
        <w:rPr>
          <w:rFonts w:hint="eastAsia" w:ascii="Times New Roman" w:hAnsi="Times New Roman" w:eastAsia="仿宋_GB2312" w:cs="Times New Roman"/>
          <w:snapToGrid w:val="0"/>
          <w:color w:val="000000"/>
          <w:kern w:val="0"/>
          <w:sz w:val="28"/>
          <w:szCs w:val="28"/>
          <w:lang w:val="en-US" w:eastAsia="zh-CN"/>
        </w:rPr>
        <w:t>5</w:t>
      </w:r>
      <w:r>
        <w:rPr>
          <w:rFonts w:hint="eastAsia" w:ascii="仿宋_GB2312" w:hAnsi="仿宋_GB2312" w:eastAsia="仿宋_GB2312" w:cs="仿宋_GB2312"/>
          <w:color w:val="000000" w:themeColor="text1"/>
          <w:spacing w:val="6"/>
          <w:sz w:val="30"/>
          <w:szCs w:val="30"/>
          <w14:textFill>
            <w14:solidFill>
              <w14:schemeClr w14:val="tx1"/>
            </w14:solidFill>
          </w14:textFill>
        </w:rPr>
        <w:t>年累计不少于</w:t>
      </w:r>
      <w:r>
        <w:rPr>
          <w:rFonts w:hint="eastAsia" w:ascii="Times New Roman" w:hAnsi="Times New Roman" w:eastAsia="仿宋_GB2312" w:cs="Times New Roman"/>
          <w:snapToGrid w:val="0"/>
          <w:color w:val="000000"/>
          <w:kern w:val="0"/>
          <w:sz w:val="28"/>
          <w:szCs w:val="28"/>
          <w:lang w:val="en-US" w:eastAsia="zh-CN"/>
        </w:rPr>
        <w:t>6</w:t>
      </w:r>
      <w:r>
        <w:rPr>
          <w:rFonts w:hint="eastAsia" w:ascii="仿宋_GB2312" w:hAnsi="仿宋_GB2312" w:eastAsia="仿宋_GB2312" w:cs="仿宋_GB2312"/>
          <w:color w:val="000000" w:themeColor="text1"/>
          <w:spacing w:val="6"/>
          <w:sz w:val="30"/>
          <w:szCs w:val="30"/>
          <w14:textFill>
            <w14:solidFill>
              <w14:schemeClr w14:val="tx1"/>
            </w14:solidFill>
          </w14:textFill>
        </w:rPr>
        <w:t>个月的企业实践经历。</w:t>
      </w:r>
    </w:p>
    <w:p w14:paraId="71D3308C">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（4）双师型教师</w:t>
      </w:r>
    </w:p>
    <w:p w14:paraId="0B434763">
      <w:pPr>
        <w:keepNext w:val="0"/>
        <w:keepLines w:val="0"/>
        <w:pageBreakBefore w:val="0"/>
        <w:wordWrap/>
        <w:overflowPunct/>
        <w:topLinePunct w:val="0"/>
        <w:bidi w:val="0"/>
        <w:spacing w:line="560" w:lineRule="exact"/>
        <w:ind w:left="0" w:right="12" w:firstLine="56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1"/>
          <w:sz w:val="30"/>
          <w:szCs w:val="30"/>
          <w14:textFill>
            <w14:solidFill>
              <w14:schemeClr w14:val="tx1"/>
            </w14:solidFill>
          </w14:textFill>
        </w:rPr>
        <w:t>双师素质教师占专业教师比一般不低于</w:t>
      </w:r>
      <w:r>
        <w:rPr>
          <w:rFonts w:hint="eastAsia" w:ascii="Times New Roman" w:hAnsi="Times New Roman" w:eastAsia="仿宋_GB2312" w:cs="Times New Roman"/>
          <w:snapToGrid w:val="0"/>
          <w:color w:val="000000"/>
          <w:kern w:val="0"/>
          <w:sz w:val="28"/>
          <w:szCs w:val="28"/>
          <w:lang w:val="en-US" w:eastAsia="zh-CN"/>
        </w:rPr>
        <w:t>60</w:t>
      </w:r>
      <w:r>
        <w:rPr>
          <w:rFonts w:hint="eastAsia" w:ascii="仿宋_GB2312" w:hAnsi="仿宋_GB2312" w:eastAsia="仿宋_GB2312" w:cs="仿宋_GB2312"/>
          <w:color w:val="000000" w:themeColor="text1"/>
          <w:spacing w:val="1"/>
          <w:sz w:val="30"/>
          <w:szCs w:val="30"/>
          <w14:textFill>
            <w14:solidFill>
              <w14:schemeClr w14:val="tx1"/>
            </w14:solidFill>
          </w14:textFill>
        </w:rPr>
        <w:t>%，大学专科以上学历，</w:t>
      </w:r>
      <w:r>
        <w:rPr>
          <w:rFonts w:hint="eastAsia" w:ascii="仿宋_GB2312" w:hAnsi="仿宋_GB2312" w:eastAsia="仿宋_GB2312" w:cs="仿宋_GB2312"/>
          <w:color w:val="000000" w:themeColor="text1"/>
          <w:spacing w:val="6"/>
          <w:sz w:val="30"/>
          <w:szCs w:val="30"/>
          <w14:textFill>
            <w14:solidFill>
              <w14:schemeClr w14:val="tx1"/>
            </w14:solidFill>
          </w14:textFill>
        </w:rPr>
        <w:t>有教师职业资格证书，具备本专业基础理论知识、专业技术知识、课</w:t>
      </w:r>
      <w:r>
        <w:rPr>
          <w:rFonts w:hint="eastAsia" w:ascii="仿宋_GB2312" w:hAnsi="仿宋_GB2312" w:eastAsia="仿宋_GB2312" w:cs="仿宋_GB2312"/>
          <w:color w:val="000000" w:themeColor="text1"/>
          <w:spacing w:val="9"/>
          <w:sz w:val="30"/>
          <w:szCs w:val="30"/>
          <w14:textFill>
            <w14:solidFill>
              <w14:schemeClr w14:val="tx1"/>
            </w14:solidFill>
          </w14:textFill>
        </w:rPr>
        <w:t>程开发和专业研究能力，参加各类职业资格考试并到企业顶岗实</w:t>
      </w:r>
      <w:r>
        <w:rPr>
          <w:rFonts w:hint="eastAsia" w:ascii="仿宋_GB2312" w:hAnsi="仿宋_GB2312" w:eastAsia="仿宋_GB2312" w:cs="仿宋_GB2312"/>
          <w:color w:val="000000" w:themeColor="text1"/>
          <w:spacing w:val="8"/>
          <w:sz w:val="30"/>
          <w:szCs w:val="30"/>
          <w14:textFill>
            <w14:solidFill>
              <w14:schemeClr w14:val="tx1"/>
            </w14:solidFill>
          </w14:textFill>
        </w:rPr>
        <w:t>践，</w:t>
      </w:r>
      <w:r>
        <w:rPr>
          <w:rFonts w:hint="eastAsia" w:ascii="仿宋_GB2312" w:hAnsi="仿宋_GB2312" w:eastAsia="仿宋_GB2312" w:cs="仿宋_GB2312"/>
          <w:color w:val="000000" w:themeColor="text1"/>
          <w:spacing w:val="11"/>
          <w:sz w:val="30"/>
          <w:szCs w:val="30"/>
          <w14:textFill>
            <w14:solidFill>
              <w14:schemeClr w14:val="tx1"/>
            </w14:solidFill>
          </w14:textFill>
        </w:rPr>
        <w:t>有一定的职业技术教育、生产实践经验和专业</w:t>
      </w:r>
      <w:r>
        <w:rPr>
          <w:rFonts w:hint="eastAsia" w:ascii="仿宋_GB2312" w:hAnsi="仿宋_GB2312" w:eastAsia="仿宋_GB2312" w:cs="仿宋_GB2312"/>
          <w:color w:val="000000" w:themeColor="text1"/>
          <w:spacing w:val="10"/>
          <w:sz w:val="30"/>
          <w:szCs w:val="30"/>
          <w14:textFill>
            <w14:solidFill>
              <w14:schemeClr w14:val="tx1"/>
            </w14:solidFill>
          </w14:textFill>
        </w:rPr>
        <w:t>技能，独立承担</w:t>
      </w:r>
      <w:r>
        <w:rPr>
          <w:rFonts w:hint="eastAsia"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10"/>
          <w:sz w:val="30"/>
          <w:szCs w:val="30"/>
          <w14:textFill>
            <w14:solidFill>
              <w14:schemeClr w14:val="tx1"/>
            </w14:solidFill>
          </w14:textFill>
        </w:rPr>
        <w:t>～</w:t>
      </w:r>
      <w:r>
        <w:rPr>
          <w:rFonts w:hint="eastAsia"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sz w:val="30"/>
          <w:szCs w:val="30"/>
          <w14:textFill>
            <w14:solidFill>
              <w14:schemeClr w14:val="tx1"/>
            </w14:solidFill>
          </w14:textFill>
        </w:rPr>
        <w:t>门专业课程，主持或参与核心课程建设或自治区级以上课题，参与编写实训教材或者专业资源库建设的材料。</w:t>
      </w:r>
    </w:p>
    <w:p w14:paraId="7EF3FF11">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r>
        <w:rPr>
          <w:rFonts w:hint="eastAsia" w:ascii="楷体_GB2312" w:hAnsi="楷体_GB2312" w:eastAsia="楷体_GB2312" w:cs="楷体_GB2312"/>
          <w:snapToGrid w:val="0"/>
          <w:color w:val="000000"/>
          <w:kern w:val="0"/>
          <w:sz w:val="28"/>
          <w:szCs w:val="28"/>
          <w:lang w:val="en-US" w:eastAsia="zh-CN"/>
        </w:rPr>
        <w:t>（</w:t>
      </w:r>
      <w:r>
        <w:rPr>
          <w:rFonts w:hint="eastAsia" w:ascii="Times New Roman" w:hAnsi="Times New Roman" w:eastAsia="仿宋_GB2312" w:cs="Times New Roman"/>
          <w:snapToGrid w:val="0"/>
          <w:color w:val="000000"/>
          <w:kern w:val="0"/>
          <w:sz w:val="28"/>
          <w:szCs w:val="28"/>
          <w:lang w:val="en-US" w:eastAsia="zh-CN"/>
        </w:rPr>
        <w:t>5</w:t>
      </w:r>
      <w:r>
        <w:rPr>
          <w:rFonts w:hint="eastAsia" w:ascii="楷体_GB2312" w:hAnsi="楷体_GB2312" w:eastAsia="楷体_GB2312" w:cs="楷体_GB2312"/>
          <w:snapToGrid w:val="0"/>
          <w:color w:val="000000"/>
          <w:kern w:val="0"/>
          <w:sz w:val="28"/>
          <w:szCs w:val="28"/>
          <w:lang w:val="en-US" w:eastAsia="zh-CN"/>
        </w:rPr>
        <w:t>）兼职教师</w:t>
      </w:r>
    </w:p>
    <w:p w14:paraId="2C02EA27">
      <w:pPr>
        <w:keepNext w:val="0"/>
        <w:keepLines w:val="0"/>
        <w:pageBreakBefore w:val="0"/>
        <w:wordWrap/>
        <w:overflowPunct/>
        <w:topLinePunct w:val="0"/>
        <w:bidi w:val="0"/>
        <w:spacing w:line="560" w:lineRule="exact"/>
        <w:ind w:left="0" w:right="12" w:firstLine="560"/>
        <w:rPr>
          <w:rFonts w:hint="eastAsia" w:ascii="仿宋_GB2312" w:hAnsi="仿宋_GB2312" w:eastAsia="仿宋_GB2312" w:cs="仿宋_GB2312"/>
          <w:color w:val="000000" w:themeColor="text1"/>
          <w:spacing w:val="11"/>
          <w:sz w:val="30"/>
          <w:szCs w:val="30"/>
          <w14:textFill>
            <w14:solidFill>
              <w14:schemeClr w14:val="tx1"/>
            </w14:solidFill>
          </w14:textFill>
        </w:rPr>
      </w:pPr>
      <w:r>
        <w:rPr>
          <w:rFonts w:hint="eastAsia" w:ascii="仿宋_GB2312" w:hAnsi="仿宋_GB2312" w:eastAsia="仿宋_GB2312" w:cs="仿宋_GB2312"/>
          <w:color w:val="000000" w:themeColor="text1"/>
          <w:spacing w:val="11"/>
          <w:sz w:val="30"/>
          <w:szCs w:val="30"/>
          <w14:textFill>
            <w14:solidFill>
              <w14:schemeClr w14:val="tx1"/>
            </w14:solidFill>
          </w14:textFill>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需要聘请技能大师、劳动模范、能工巧匠等高技能人才，根据国家有关要求制定针对兼职教师聘任与管理的具体实施办法。</w:t>
      </w:r>
    </w:p>
    <w:p w14:paraId="1E111688">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22" w:name="_Toc18265"/>
      <w:r>
        <w:rPr>
          <w:rFonts w:hint="eastAsia" w:ascii="楷体_GB2312" w:hAnsi="楷体_GB2312" w:eastAsia="楷体_GB2312" w:cs="楷体_GB2312"/>
          <w:snapToGrid w:val="0"/>
          <w:color w:val="000000"/>
          <w:kern w:val="0"/>
          <w:sz w:val="28"/>
          <w:szCs w:val="28"/>
          <w:lang w:val="en-US" w:eastAsia="zh-CN"/>
        </w:rPr>
        <w:t>（二）教学设施</w:t>
      </w:r>
      <w:bookmarkEnd w:id="22"/>
    </w:p>
    <w:p w14:paraId="03BEABAB">
      <w:pPr>
        <w:keepNext w:val="0"/>
        <w:keepLines w:val="0"/>
        <w:pageBreakBefore w:val="0"/>
        <w:wordWrap/>
        <w:overflowPunct/>
        <w:topLinePunct w:val="0"/>
        <w:bidi w:val="0"/>
        <w:spacing w:line="560" w:lineRule="exact"/>
        <w:ind w:left="0" w:right="718" w:firstLine="636"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9"/>
          <w:sz w:val="30"/>
          <w:szCs w:val="30"/>
          <w14:textFill>
            <w14:solidFill>
              <w14:schemeClr w14:val="tx1"/>
            </w14:solidFill>
          </w14:textFill>
        </w:rPr>
        <w:t>主要包括能够满足正常的课程教学、实习实训所需的专业教室、</w:t>
      </w:r>
      <w:r>
        <w:rPr>
          <w:rFonts w:hint="eastAsia" w:ascii="仿宋_GB2312" w:hAnsi="仿宋_GB2312" w:eastAsia="仿宋_GB2312" w:cs="仿宋_GB2312"/>
          <w:color w:val="000000" w:themeColor="text1"/>
          <w:spacing w:val="2"/>
          <w:sz w:val="30"/>
          <w:szCs w:val="30"/>
          <w14:textFill>
            <w14:solidFill>
              <w14:schemeClr w14:val="tx1"/>
            </w14:solidFill>
          </w14:textFill>
        </w:rPr>
        <w:t>实训室和实习实训基地。</w:t>
      </w:r>
    </w:p>
    <w:p w14:paraId="1E24176B">
      <w:pPr>
        <w:widowControl/>
        <w:kinsoku w:val="0"/>
        <w:autoSpaceDE w:val="0"/>
        <w:autoSpaceDN w:val="0"/>
        <w:adjustRightInd w:val="0"/>
        <w:snapToGrid w:val="0"/>
        <w:spacing w:line="560" w:lineRule="exact"/>
        <w:ind w:firstLine="560"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snapToGrid w:val="0"/>
          <w:color w:val="000000"/>
          <w:kern w:val="0"/>
          <w:sz w:val="28"/>
          <w:szCs w:val="28"/>
          <w:lang w:val="en-US" w:eastAsia="zh-CN"/>
        </w:rPr>
        <w:t>1</w:t>
      </w:r>
      <w:r>
        <w:rPr>
          <w:rFonts w:hint="eastAsia" w:ascii="Times New Roman" w:hAnsi="Times New Roman" w:eastAsia="仿宋_GB2312" w:cs="Times New Roman"/>
          <w:b/>
          <w:bCs/>
          <w:snapToGrid w:val="0"/>
          <w:color w:val="000000"/>
          <w:kern w:val="0"/>
          <w:sz w:val="28"/>
          <w:szCs w:val="28"/>
          <w:lang w:val="en-US" w:eastAsia="zh-CN"/>
        </w:rPr>
        <w:t>.校内实训条件</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8"/>
        <w:gridCol w:w="1228"/>
        <w:gridCol w:w="873"/>
        <w:gridCol w:w="1945"/>
        <w:gridCol w:w="1680"/>
        <w:gridCol w:w="1755"/>
        <w:gridCol w:w="1867"/>
      </w:tblGrid>
      <w:tr w14:paraId="7B380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3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8A6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序号</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602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实训室名称</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97D2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工位</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br w:type="textWrapping"/>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（人）</w:t>
            </w:r>
          </w:p>
        </w:tc>
        <w:tc>
          <w:tcPr>
            <w:tcW w:w="18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09F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主要设施设备</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4AB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主要实训项目</w:t>
            </w:r>
          </w:p>
        </w:tc>
        <w:tc>
          <w:tcPr>
            <w:tcW w:w="9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980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服务课程</w:t>
            </w:r>
          </w:p>
        </w:tc>
      </w:tr>
      <w:tr w14:paraId="670E8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24F80">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4E77F">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F2704">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E1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主要设备</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65C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面积、设备台套数基本要求</w:t>
            </w:r>
          </w:p>
        </w:tc>
        <w:tc>
          <w:tcPr>
            <w:tcW w:w="881" w:type="pct"/>
            <w:vMerge w:val="restart"/>
            <w:tcBorders>
              <w:top w:val="single" w:color="000000" w:sz="4" w:space="0"/>
              <w:left w:val="single" w:color="000000" w:sz="4" w:space="0"/>
              <w:bottom w:val="nil"/>
              <w:right w:val="single" w:color="000000" w:sz="4" w:space="0"/>
            </w:tcBorders>
            <w:shd w:val="clear" w:color="auto" w:fill="auto"/>
            <w:vAlign w:val="center"/>
          </w:tcPr>
          <w:p w14:paraId="65033D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中式面点制作、风味小吃制作工艺、糖艺、面塑、翻糖装饰、咖啡饮料制作工艺、简餐制作工艺、面点包装设计与制作</w:t>
            </w:r>
          </w:p>
        </w:tc>
        <w:tc>
          <w:tcPr>
            <w:tcW w:w="937" w:type="pct"/>
            <w:vMerge w:val="restart"/>
            <w:tcBorders>
              <w:top w:val="single" w:color="000000" w:sz="4" w:space="0"/>
              <w:left w:val="single" w:color="000000" w:sz="4" w:space="0"/>
              <w:bottom w:val="nil"/>
              <w:right w:val="single" w:color="000000" w:sz="4" w:space="0"/>
            </w:tcBorders>
            <w:shd w:val="clear" w:color="auto" w:fill="auto"/>
            <w:vAlign w:val="center"/>
          </w:tcPr>
          <w:p w14:paraId="0A0627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中式面点制作、风味小吃制作工艺、糖艺、面塑、翻糖装饰、咖啡饮料制作工艺、简餐制作工艺、面点包装设计与制作</w:t>
            </w:r>
          </w:p>
        </w:tc>
      </w:tr>
      <w:tr w14:paraId="1A37F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1AA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960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中式面点实训室</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br w:type="textWrapping"/>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w:t>
            </w:r>
            <w:r>
              <w:rPr>
                <w:rFonts w:hint="eastAsia"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间）</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1E7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60</w:t>
            </w: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1B8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醒发箱</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579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0C095E28">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5C2274BC">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13423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A2C05">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78851">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4F4BF">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8D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不锈钢操作台</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26A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张</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70590603">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15BA0F5E">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20D35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F4795">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A489B">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02477">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137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3.</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双水盆台</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42E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3BC224E7">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7C572E79">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157E1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28A31">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DFE87">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24E2E">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CB5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4.</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和面机</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F7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6A55E3DC">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778C3799">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63FE3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7D2D6">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196BC">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968B6">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C4E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5.</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落地式电蒸灶</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CD4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5D55E703">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4CD7A99C">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25178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2CB4F">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CBCE8">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9D399">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D7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6.</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冰柜</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E62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5FA5F0D6">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4611C521">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020C5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86BE1">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32D4F">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A94FB">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2D0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7.</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油炸机</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F14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44BF7334">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2EC296F0">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5CB82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59F1C">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6B45A">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B725D">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D6C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8.</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微波炉</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58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08F10A90">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38628FCB">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56E20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E6131">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5FDAA">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16873">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CCC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9.</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电磁炉</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E0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7EBF3018">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0F349318">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40D99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68F8A">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AE68D">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4BA60">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923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10.</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烤箱</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EE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0C20167C">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32F788D2">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4CCC7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B3F62">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A0DBE">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AC34E">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F5B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11.</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消毒柜</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5D2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1A5CCFD2">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nil"/>
              <w:right w:val="single" w:color="000000" w:sz="4" w:space="0"/>
            </w:tcBorders>
            <w:shd w:val="clear" w:color="auto" w:fill="auto"/>
            <w:vAlign w:val="center"/>
          </w:tcPr>
          <w:p w14:paraId="252BA8C6">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5E97F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44E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55F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西式面点实训室</w:t>
            </w:r>
            <w: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br w:type="textWrapping"/>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w:t>
            </w: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间）</w:t>
            </w:r>
          </w:p>
        </w:tc>
        <w:tc>
          <w:tcPr>
            <w:tcW w:w="4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6F9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rPr>
              <w:t>60</w:t>
            </w:r>
          </w:p>
        </w:tc>
        <w:tc>
          <w:tcPr>
            <w:tcW w:w="9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30ED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醒发箱</w:t>
            </w:r>
          </w:p>
        </w:tc>
        <w:tc>
          <w:tcPr>
            <w:tcW w:w="8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DC4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A26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西式面点制作、蛋糕制作工艺、面包制作工艺、巧克力制作工艺、创意西点制作工艺、店铺创业实践</w:t>
            </w:r>
          </w:p>
        </w:tc>
        <w:tc>
          <w:tcPr>
            <w:tcW w:w="9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265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西式面点制作、蛋糕制作工艺、面包制作工艺、巧克力制作工艺、创意西点制作工艺、店铺创业实践</w:t>
            </w:r>
          </w:p>
        </w:tc>
      </w:tr>
      <w:tr w14:paraId="2D2F6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8672E">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6E8BB">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91FCC">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A8060">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8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4B1F6">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6990B">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EAA4D">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0D243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3C15F">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262F4">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976E6">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CEC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不锈钢工作台</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A0C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张</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8B77E">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8737">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648D7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FF3A9">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56D8F">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EEEB">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4B5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3.</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洗手盆</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9FE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10DFD">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8D6E0">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478E6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0E9D5">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1B724">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AEA88">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6E2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4.</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搅拌机</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D25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C71F3">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122D9">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656D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88C2B">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B3EC4">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AFBE3">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40E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5.</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和面机</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7C7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7EC00">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0E1C1">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37A04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7D4A4">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09C12">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4AA64">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82C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6.</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奶油机</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C9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86FB5">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FF0D2">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4D796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88FA4">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242D4">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B0E5A">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993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7.</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蛋糕模具</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6D0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40</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套</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D6D07">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7C86E">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6EDFC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8111A">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1022D">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01E8">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6C9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8</w:t>
            </w:r>
            <w: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w:t>
            </w:r>
            <w:r>
              <w:rPr>
                <w:rFonts w:hint="default" w:ascii="Times New Roman" w:hAnsi="Times New Roman" w:eastAsia="仿宋_GB2312" w:cs="Times New Roman"/>
                <w:snapToGrid w:val="0"/>
                <w:color w:val="000000"/>
                <w:kern w:val="0"/>
                <w:sz w:val="28"/>
                <w:szCs w:val="28"/>
                <w:lang w:val="en-US" w:eastAsia="zh-CN"/>
              </w:rPr>
              <w:t>3</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层电烤箱</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DF1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F263A">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DEC9">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16F41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2290C">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C90E4">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7F68">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4B8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9</w:t>
            </w:r>
            <w: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冰柜</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B8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B19FA">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C4C69">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r w14:paraId="42E87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AC1B2">
            <w:pPr>
              <w:keepNext w:val="0"/>
              <w:keepLines w:val="0"/>
              <w:pageBreakBefore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0C19A">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4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45F31">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C1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10</w:t>
            </w:r>
            <w: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蒸炉</w:t>
            </w:r>
          </w:p>
        </w:tc>
        <w:tc>
          <w:tcPr>
            <w:tcW w:w="8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CF9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r>
              <w:rPr>
                <w:rFonts w:hint="default" w:ascii="Times New Roman" w:hAnsi="Times New Roman" w:eastAsia="仿宋_GB2312" w:cs="Times New Roman"/>
                <w:snapToGrid w:val="0"/>
                <w:color w:val="000000"/>
                <w:kern w:val="0"/>
                <w:sz w:val="28"/>
                <w:szCs w:val="28"/>
                <w:lang w:val="en-US" w:eastAsia="zh-CN"/>
              </w:rPr>
              <w:t>2</w:t>
            </w:r>
            <w: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t>台</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ABE81">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c>
          <w:tcPr>
            <w:tcW w:w="9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CD9C3">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color w:val="000000" w:themeColor="text1"/>
                <w:spacing w:val="-6"/>
                <w:kern w:val="2"/>
                <w:sz w:val="24"/>
                <w:szCs w:val="24"/>
                <w:lang w:val="en-US" w:eastAsia="zh-CN" w:bidi="ar-SA"/>
                <w14:textFill>
                  <w14:solidFill>
                    <w14:schemeClr w14:val="tx1"/>
                  </w14:solidFill>
                </w14:textFill>
              </w:rPr>
            </w:pPr>
          </w:p>
        </w:tc>
      </w:tr>
    </w:tbl>
    <w:p w14:paraId="641D2246">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2.校外实训基地基本要求</w:t>
      </w:r>
    </w:p>
    <w:p w14:paraId="02C8FF11">
      <w:pPr>
        <w:keepNext w:val="0"/>
        <w:keepLines w:val="0"/>
        <w:pageBreakBefore w:val="0"/>
        <w:widowControl w:val="0"/>
        <w:kinsoku/>
        <w:wordWrap/>
        <w:overflowPunct/>
        <w:topLinePunct w:val="0"/>
        <w:autoSpaceDE/>
        <w:autoSpaceDN/>
        <w:bidi w:val="0"/>
        <w:adjustRightInd/>
        <w:snapToGrid/>
        <w:spacing w:line="560" w:lineRule="exact"/>
        <w:ind w:left="0" w:right="718" w:firstLine="636" w:firstLineChars="200"/>
        <w:textAlignment w:val="auto"/>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9"/>
          <w:sz w:val="30"/>
          <w:szCs w:val="30"/>
          <w14:textFill>
            <w14:solidFill>
              <w14:schemeClr w14:val="tx1"/>
            </w14:solidFill>
          </w14:textFill>
        </w:rPr>
        <w:t>具有稳定的校外实训基地。能够提供开展直播电商、网店运营、</w:t>
      </w:r>
      <w:r>
        <w:rPr>
          <w:rFonts w:hint="eastAsia" w:ascii="仿宋_GB2312" w:hAnsi="仿宋_GB2312" w:eastAsia="仿宋_GB2312" w:cs="仿宋_GB2312"/>
          <w:color w:val="000000" w:themeColor="text1"/>
          <w:spacing w:val="6"/>
          <w:sz w:val="30"/>
          <w:szCs w:val="30"/>
          <w14:textFill>
            <w14:solidFill>
              <w14:schemeClr w14:val="tx1"/>
            </w14:solidFill>
          </w14:textFill>
        </w:rPr>
        <w:t>短视频制作等实训活动，实训设施齐备，实训岗位、实训指导教师确</w:t>
      </w:r>
      <w:r>
        <w:rPr>
          <w:rFonts w:hint="eastAsia" w:ascii="仿宋_GB2312" w:hAnsi="仿宋_GB2312" w:eastAsia="仿宋_GB2312" w:cs="仿宋_GB2312"/>
          <w:color w:val="000000" w:themeColor="text1"/>
          <w:spacing w:val="8"/>
          <w:sz w:val="30"/>
          <w:szCs w:val="30"/>
          <w14:textFill>
            <w14:solidFill>
              <w14:schemeClr w14:val="tx1"/>
            </w14:solidFill>
          </w14:textFill>
        </w:rPr>
        <w:t>定，实训管理及实施规章制度齐全</w:t>
      </w:r>
    </w:p>
    <w:tbl>
      <w:tblPr>
        <w:tblStyle w:val="14"/>
        <w:tblW w:w="8392" w:type="dxa"/>
        <w:tblInd w:w="7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4287"/>
        <w:gridCol w:w="3255"/>
      </w:tblGrid>
      <w:tr w14:paraId="6E043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50" w:type="dxa"/>
            <w:vAlign w:val="center"/>
          </w:tcPr>
          <w:p w14:paraId="67BD2EB5">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b/>
                <w:bCs/>
                <w:color w:val="000000" w:themeColor="text1"/>
                <w:spacing w:val="-5"/>
                <w:sz w:val="30"/>
                <w:szCs w:val="30"/>
                <w14:textFill>
                  <w14:solidFill>
                    <w14:schemeClr w14:val="tx1"/>
                  </w14:solidFill>
                </w14:textFill>
              </w:rPr>
              <w:t>序号</w:t>
            </w:r>
          </w:p>
        </w:tc>
        <w:tc>
          <w:tcPr>
            <w:tcW w:w="4287" w:type="dxa"/>
            <w:vAlign w:val="center"/>
          </w:tcPr>
          <w:p w14:paraId="17D28814">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b/>
                <w:bCs/>
                <w:color w:val="000000" w:themeColor="text1"/>
                <w:spacing w:val="-6"/>
                <w:sz w:val="30"/>
                <w:szCs w:val="30"/>
                <w14:textFill>
                  <w14:solidFill>
                    <w14:schemeClr w14:val="tx1"/>
                  </w14:solidFill>
                </w14:textFill>
              </w:rPr>
              <w:t>实训基地名称</w:t>
            </w:r>
          </w:p>
        </w:tc>
        <w:tc>
          <w:tcPr>
            <w:tcW w:w="3255" w:type="dxa"/>
            <w:vAlign w:val="center"/>
          </w:tcPr>
          <w:p w14:paraId="7413533C">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b/>
                <w:bCs/>
                <w:color w:val="000000" w:themeColor="text1"/>
                <w:spacing w:val="-6"/>
                <w:sz w:val="30"/>
                <w:szCs w:val="30"/>
                <w14:textFill>
                  <w14:solidFill>
                    <w14:schemeClr w14:val="tx1"/>
                  </w14:solidFill>
                </w14:textFill>
              </w:rPr>
              <w:t>主要功能</w:t>
            </w:r>
          </w:p>
        </w:tc>
      </w:tr>
      <w:tr w14:paraId="340F0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850" w:type="dxa"/>
            <w:vAlign w:val="center"/>
          </w:tcPr>
          <w:p w14:paraId="2BA2E735">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bidi="ar-SA"/>
              </w:rPr>
              <w:t>1</w:t>
            </w:r>
          </w:p>
        </w:tc>
        <w:tc>
          <w:tcPr>
            <w:tcW w:w="4287" w:type="dxa"/>
            <w:vAlign w:val="center"/>
          </w:tcPr>
          <w:p w14:paraId="4F1A72D0">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pacing w:val="-1"/>
                <w:sz w:val="30"/>
                <w:szCs w:val="30"/>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30"/>
                <w:szCs w:val="30"/>
                <w14:textFill>
                  <w14:solidFill>
                    <w14:schemeClr w14:val="tx1"/>
                  </w14:solidFill>
                </w14:textFill>
              </w:rPr>
              <w:t>柳州市顺丰国宴餐饮店</w:t>
            </w:r>
          </w:p>
        </w:tc>
        <w:tc>
          <w:tcPr>
            <w:tcW w:w="3255" w:type="dxa"/>
            <w:vAlign w:val="center"/>
          </w:tcPr>
          <w:p w14:paraId="0DB79B0E">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1"/>
                <w:sz w:val="30"/>
                <w:szCs w:val="30"/>
                <w14:textFill>
                  <w14:solidFill>
                    <w14:schemeClr w14:val="tx1"/>
                  </w14:solidFill>
                </w14:textFill>
              </w:rPr>
              <w:t>课程实训，岗位实习</w:t>
            </w:r>
          </w:p>
        </w:tc>
      </w:tr>
      <w:tr w14:paraId="3E1B7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850" w:type="dxa"/>
            <w:vAlign w:val="center"/>
          </w:tcPr>
          <w:p w14:paraId="347C21FE">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Times New Roman" w:hAnsi="Times New Roman" w:eastAsia="仿宋_GB2312" w:cs="Times New Roman"/>
                <w:snapToGrid w:val="0"/>
                <w:color w:val="000000"/>
                <w:kern w:val="0"/>
                <w:sz w:val="28"/>
                <w:szCs w:val="28"/>
                <w:lang w:val="en-US" w:eastAsia="zh-CN" w:bidi="ar-SA"/>
              </w:rPr>
              <w:t>2</w:t>
            </w:r>
          </w:p>
        </w:tc>
        <w:tc>
          <w:tcPr>
            <w:tcW w:w="4287" w:type="dxa"/>
            <w:vAlign w:val="center"/>
          </w:tcPr>
          <w:p w14:paraId="74DC8058">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pacing w:val="-1"/>
                <w:sz w:val="30"/>
                <w:szCs w:val="30"/>
                <w:lang w:val="en-US" w:eastAsia="zh-CN"/>
                <w14:textFill>
                  <w14:solidFill>
                    <w14:schemeClr w14:val="tx1"/>
                  </w14:solidFill>
                </w14:textFill>
              </w:rPr>
            </w:pPr>
            <w:r>
              <w:rPr>
                <w:rFonts w:hint="default" w:ascii="仿宋_GB2312" w:hAnsi="仿宋_GB2312" w:eastAsia="仿宋_GB2312" w:cs="仿宋_GB2312"/>
                <w:color w:val="000000" w:themeColor="text1"/>
                <w:spacing w:val="-1"/>
                <w:sz w:val="30"/>
                <w:szCs w:val="30"/>
                <w:lang w:val="en-US" w:eastAsia="zh-CN"/>
                <w14:textFill>
                  <w14:solidFill>
                    <w14:schemeClr w14:val="tx1"/>
                  </w14:solidFill>
                </w14:textFill>
              </w:rPr>
              <w:t>广西鑫愽飞餐饮有限责任公司</w:t>
            </w:r>
          </w:p>
        </w:tc>
        <w:tc>
          <w:tcPr>
            <w:tcW w:w="3255" w:type="dxa"/>
            <w:vAlign w:val="center"/>
          </w:tcPr>
          <w:p w14:paraId="30DD2B26">
            <w:pPr>
              <w:pStyle w:val="13"/>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1"/>
                <w:sz w:val="30"/>
                <w:szCs w:val="30"/>
                <w14:textFill>
                  <w14:solidFill>
                    <w14:schemeClr w14:val="tx1"/>
                  </w14:solidFill>
                </w14:textFill>
              </w:rPr>
              <w:t>课程实训，岗位实习</w:t>
            </w:r>
          </w:p>
        </w:tc>
      </w:tr>
    </w:tbl>
    <w:p w14:paraId="03114C88">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23" w:name="_Toc32509"/>
      <w:r>
        <w:rPr>
          <w:rFonts w:hint="eastAsia" w:ascii="楷体_GB2312" w:hAnsi="楷体_GB2312" w:eastAsia="楷体_GB2312" w:cs="楷体_GB2312"/>
          <w:snapToGrid w:val="0"/>
          <w:color w:val="000000"/>
          <w:kern w:val="0"/>
          <w:sz w:val="28"/>
          <w:szCs w:val="28"/>
          <w:lang w:val="en-US" w:eastAsia="zh-CN"/>
        </w:rPr>
        <w:t>（三）教学资源</w:t>
      </w:r>
      <w:bookmarkEnd w:id="23"/>
    </w:p>
    <w:p w14:paraId="2539BE23">
      <w:pPr>
        <w:keepNext w:val="0"/>
        <w:keepLines w:val="0"/>
        <w:pageBreakBefore w:val="0"/>
        <w:wordWrap/>
        <w:overflowPunct/>
        <w:topLinePunct w:val="0"/>
        <w:bidi w:val="0"/>
        <w:spacing w:line="560" w:lineRule="exact"/>
        <w:ind w:left="0" w:firstLine="624"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主要包括能够满足学生专业学习、教师专业教学研究和教</w:t>
      </w:r>
      <w:r>
        <w:rPr>
          <w:rFonts w:hint="eastAsia" w:ascii="仿宋_GB2312" w:hAnsi="仿宋_GB2312" w:eastAsia="仿宋_GB2312" w:cs="仿宋_GB2312"/>
          <w:color w:val="000000" w:themeColor="text1"/>
          <w:spacing w:val="5"/>
          <w:sz w:val="30"/>
          <w:szCs w:val="30"/>
          <w14:textFill>
            <w14:solidFill>
              <w14:schemeClr w14:val="tx1"/>
            </w14:solidFill>
          </w14:textFill>
        </w:rPr>
        <w:t>学实施</w:t>
      </w:r>
      <w:r>
        <w:rPr>
          <w:rFonts w:hint="eastAsia" w:ascii="仿宋_GB2312" w:hAnsi="仿宋_GB2312" w:eastAsia="仿宋_GB2312" w:cs="仿宋_GB2312"/>
          <w:color w:val="000000" w:themeColor="text1"/>
          <w:spacing w:val="4"/>
          <w:sz w:val="30"/>
          <w:szCs w:val="30"/>
          <w14:textFill>
            <w14:solidFill>
              <w14:schemeClr w14:val="tx1"/>
            </w14:solidFill>
          </w14:textFill>
        </w:rPr>
        <w:t>需要的教材、图书及数字化资源等。</w:t>
      </w:r>
    </w:p>
    <w:p w14:paraId="11BA5280">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bookmarkStart w:id="24" w:name="_Toc23091"/>
      <w:r>
        <w:rPr>
          <w:rFonts w:hint="eastAsia" w:ascii="Times New Roman" w:hAnsi="Times New Roman" w:eastAsia="仿宋_GB2312" w:cs="Times New Roman"/>
          <w:b/>
          <w:bCs/>
          <w:snapToGrid w:val="0"/>
          <w:color w:val="000000"/>
          <w:kern w:val="0"/>
          <w:sz w:val="28"/>
          <w:szCs w:val="28"/>
          <w:lang w:val="en-US" w:eastAsia="zh-CN"/>
        </w:rPr>
        <w:t>1．教材选用基本要求</w:t>
      </w:r>
      <w:bookmarkEnd w:id="24"/>
    </w:p>
    <w:p w14:paraId="3140E5EF">
      <w:pPr>
        <w:keepNext w:val="0"/>
        <w:keepLines w:val="0"/>
        <w:pageBreakBefore w:val="0"/>
        <w:wordWrap/>
        <w:overflowPunct/>
        <w:topLinePunct w:val="0"/>
        <w:bidi w:val="0"/>
        <w:spacing w:line="560" w:lineRule="exact"/>
        <w:ind w:left="0" w:right="78" w:firstLine="555"/>
        <w:jc w:val="both"/>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按照国家规定，经过规范程序选用教材，优先选用国家规划教材和国家优秀教材。专业课程教材应体现本行业新技术、新规范、新标</w:t>
      </w:r>
      <w:r>
        <w:rPr>
          <w:rFonts w:hint="eastAsia" w:ascii="仿宋_GB2312" w:hAnsi="仿宋_GB2312" w:eastAsia="仿宋_GB2312" w:cs="仿宋_GB2312"/>
          <w:color w:val="000000" w:themeColor="text1"/>
          <w:spacing w:val="-3"/>
          <w:sz w:val="30"/>
          <w:szCs w:val="30"/>
          <w14:textFill>
            <w14:solidFill>
              <w14:schemeClr w14:val="tx1"/>
            </w14:solidFill>
          </w14:textFill>
        </w:rPr>
        <w:t>准、新形态，并通过数字教材、活页式教材等多种方式进行动态更新。</w:t>
      </w:r>
    </w:p>
    <w:p w14:paraId="4C5C327B">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bookmarkStart w:id="25" w:name="_Toc20319"/>
      <w:r>
        <w:rPr>
          <w:rFonts w:hint="eastAsia" w:ascii="Times New Roman" w:hAnsi="Times New Roman" w:eastAsia="仿宋_GB2312" w:cs="Times New Roman"/>
          <w:b/>
          <w:bCs/>
          <w:snapToGrid w:val="0"/>
          <w:color w:val="000000"/>
          <w:kern w:val="0"/>
          <w:sz w:val="28"/>
          <w:szCs w:val="28"/>
          <w:lang w:val="en-US" w:eastAsia="zh-CN"/>
        </w:rPr>
        <w:t>2．图书文献配备基本要求</w:t>
      </w:r>
      <w:bookmarkEnd w:id="25"/>
    </w:p>
    <w:p w14:paraId="09BA18C7">
      <w:pPr>
        <w:keepNext w:val="0"/>
        <w:keepLines w:val="0"/>
        <w:pageBreakBefore w:val="0"/>
        <w:wordWrap/>
        <w:overflowPunct/>
        <w:topLinePunct w:val="0"/>
        <w:bidi w:val="0"/>
        <w:spacing w:line="560" w:lineRule="exact"/>
        <w:ind w:left="0" w:firstLine="596"/>
        <w:jc w:val="both"/>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2"/>
          <w:sz w:val="30"/>
          <w:szCs w:val="30"/>
          <w14:textFill>
            <w14:solidFill>
              <w14:schemeClr w14:val="tx1"/>
            </w14:solidFill>
          </w14:textFill>
        </w:rPr>
        <w:t>图书文献配备能满足人才培养、专业建设、教科研等工作的需要。</w:t>
      </w:r>
      <w:r>
        <w:rPr>
          <w:rFonts w:hint="eastAsia" w:ascii="仿宋_GB2312" w:hAnsi="仿宋_GB2312" w:eastAsia="仿宋_GB2312" w:cs="仿宋_GB2312"/>
          <w:color w:val="000000" w:themeColor="text1"/>
          <w:spacing w:val="7"/>
          <w:sz w:val="30"/>
          <w:szCs w:val="30"/>
          <w14:textFill>
            <w14:solidFill>
              <w14:schemeClr w14:val="tx1"/>
            </w14:solidFill>
          </w14:textFill>
        </w:rPr>
        <w:t>专业类图书文献主要包括：有关电子商务、新闻</w:t>
      </w:r>
      <w:r>
        <w:rPr>
          <w:rFonts w:hint="eastAsia" w:ascii="仿宋_GB2312" w:hAnsi="仿宋_GB2312" w:eastAsia="仿宋_GB2312" w:cs="仿宋_GB2312"/>
          <w:color w:val="000000" w:themeColor="text1"/>
          <w:spacing w:val="6"/>
          <w:sz w:val="30"/>
          <w:szCs w:val="30"/>
          <w14:textFill>
            <w14:solidFill>
              <w14:schemeClr w14:val="tx1"/>
            </w14:solidFill>
          </w14:textFill>
        </w:rPr>
        <w:t>传媒、互联网、数据</w:t>
      </w:r>
      <w:r>
        <w:rPr>
          <w:rFonts w:hint="eastAsia" w:ascii="仿宋_GB2312" w:hAnsi="仿宋_GB2312" w:eastAsia="仿宋_GB2312" w:cs="仿宋_GB2312"/>
          <w:color w:val="000000" w:themeColor="text1"/>
          <w:spacing w:val="7"/>
          <w:sz w:val="30"/>
          <w:szCs w:val="30"/>
          <w14:textFill>
            <w14:solidFill>
              <w14:schemeClr w14:val="tx1"/>
            </w14:solidFill>
          </w14:textFill>
        </w:rPr>
        <w:t>分析、供应链、零售、视觉设计的技术、方法、思维</w:t>
      </w:r>
      <w:r>
        <w:rPr>
          <w:rFonts w:hint="eastAsia" w:ascii="仿宋_GB2312" w:hAnsi="仿宋_GB2312" w:eastAsia="仿宋_GB2312" w:cs="仿宋_GB2312"/>
          <w:color w:val="000000" w:themeColor="text1"/>
          <w:spacing w:val="6"/>
          <w:sz w:val="30"/>
          <w:szCs w:val="30"/>
          <w14:textFill>
            <w14:solidFill>
              <w14:schemeClr w14:val="tx1"/>
            </w14:solidFill>
          </w14:textFill>
        </w:rPr>
        <w:t>及实务操作类图</w:t>
      </w:r>
      <w:r>
        <w:rPr>
          <w:rFonts w:hint="eastAsia" w:ascii="仿宋_GB2312" w:hAnsi="仿宋_GB2312" w:eastAsia="仿宋_GB2312" w:cs="仿宋_GB2312"/>
          <w:color w:val="000000" w:themeColor="text1"/>
          <w:spacing w:val="7"/>
          <w:sz w:val="30"/>
          <w:szCs w:val="30"/>
          <w14:textFill>
            <w14:solidFill>
              <w14:schemeClr w14:val="tx1"/>
            </w14:solidFill>
          </w14:textFill>
        </w:rPr>
        <w:t>书，经济、管理、营销和文化类文献等，以及与互</w:t>
      </w:r>
      <w:r>
        <w:rPr>
          <w:rFonts w:hint="eastAsia" w:ascii="仿宋_GB2312" w:hAnsi="仿宋_GB2312" w:eastAsia="仿宋_GB2312" w:cs="仿宋_GB2312"/>
          <w:color w:val="000000" w:themeColor="text1"/>
          <w:spacing w:val="6"/>
          <w:sz w:val="30"/>
          <w:szCs w:val="30"/>
          <w14:textFill>
            <w14:solidFill>
              <w14:schemeClr w14:val="tx1"/>
            </w14:solidFill>
          </w14:textFill>
        </w:rPr>
        <w:t>联网直播、互联网</w:t>
      </w:r>
      <w:r>
        <w:rPr>
          <w:rFonts w:hint="eastAsia" w:ascii="仿宋_GB2312" w:hAnsi="仿宋_GB2312" w:eastAsia="仿宋_GB2312" w:cs="仿宋_GB2312"/>
          <w:color w:val="000000" w:themeColor="text1"/>
          <w:sz w:val="30"/>
          <w:szCs w:val="30"/>
          <w14:textFill>
            <w14:solidFill>
              <w14:schemeClr w14:val="tx1"/>
            </w14:solidFill>
          </w14:textFill>
        </w:rPr>
        <w:t>营销、国际贸易相关的学术期刊和有关平台、工具使用的操作类图书。</w:t>
      </w:r>
      <w:r>
        <w:rPr>
          <w:rFonts w:hint="eastAsia" w:ascii="仿宋_GB2312" w:hAnsi="仿宋_GB2312" w:eastAsia="仿宋_GB2312" w:cs="仿宋_GB2312"/>
          <w:color w:val="000000" w:themeColor="text1"/>
          <w:spacing w:val="7"/>
          <w:sz w:val="30"/>
          <w:szCs w:val="30"/>
          <w14:textFill>
            <w14:solidFill>
              <w14:schemeClr w14:val="tx1"/>
            </w14:solidFill>
          </w14:textFill>
        </w:rPr>
        <w:t>及时配置新经济、新技术、新工艺、新材料、新管理</w:t>
      </w:r>
      <w:r>
        <w:rPr>
          <w:rFonts w:hint="eastAsia" w:ascii="仿宋_GB2312" w:hAnsi="仿宋_GB2312" w:eastAsia="仿宋_GB2312" w:cs="仿宋_GB2312"/>
          <w:color w:val="000000" w:themeColor="text1"/>
          <w:spacing w:val="6"/>
          <w:sz w:val="30"/>
          <w:szCs w:val="30"/>
          <w14:textFill>
            <w14:solidFill>
              <w14:schemeClr w14:val="tx1"/>
            </w14:solidFill>
          </w14:textFill>
        </w:rPr>
        <w:t>方式、新服务方</w:t>
      </w:r>
      <w:r>
        <w:rPr>
          <w:rFonts w:hint="eastAsia" w:ascii="仿宋_GB2312" w:hAnsi="仿宋_GB2312" w:eastAsia="仿宋_GB2312" w:cs="仿宋_GB2312"/>
          <w:color w:val="000000" w:themeColor="text1"/>
          <w:spacing w:val="4"/>
          <w:sz w:val="30"/>
          <w:szCs w:val="30"/>
          <w14:textFill>
            <w14:solidFill>
              <w14:schemeClr w14:val="tx1"/>
            </w14:solidFill>
          </w14:textFill>
        </w:rPr>
        <w:t>式等相关的图书文献。</w:t>
      </w:r>
    </w:p>
    <w:p w14:paraId="79E00998">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bookmarkStart w:id="26" w:name="_Toc29673"/>
      <w:r>
        <w:rPr>
          <w:rFonts w:hint="eastAsia" w:ascii="Times New Roman" w:hAnsi="Times New Roman" w:eastAsia="仿宋_GB2312" w:cs="Times New Roman"/>
          <w:b/>
          <w:bCs/>
          <w:snapToGrid w:val="0"/>
          <w:color w:val="000000"/>
          <w:kern w:val="0"/>
          <w:sz w:val="28"/>
          <w:szCs w:val="28"/>
          <w:lang w:val="en-US" w:eastAsia="zh-CN"/>
        </w:rPr>
        <w:t>3．数字教学资源配置基本要求</w:t>
      </w:r>
      <w:bookmarkEnd w:id="26"/>
    </w:p>
    <w:p w14:paraId="51995FC7">
      <w:pPr>
        <w:keepNext w:val="0"/>
        <w:keepLines w:val="0"/>
        <w:pageBreakBefore w:val="0"/>
        <w:wordWrap/>
        <w:overflowPunct/>
        <w:topLinePunct w:val="0"/>
        <w:bidi w:val="0"/>
        <w:spacing w:line="560" w:lineRule="exact"/>
        <w:ind w:left="0" w:right="77" w:firstLine="558"/>
        <w:jc w:val="both"/>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建设、配备与本专业有关的音视频素材、教学课件、数字化教学</w:t>
      </w:r>
      <w:r>
        <w:rPr>
          <w:rFonts w:hint="eastAsia" w:ascii="仿宋_GB2312" w:hAnsi="仿宋_GB2312" w:eastAsia="仿宋_GB2312" w:cs="仿宋_GB2312"/>
          <w:color w:val="000000" w:themeColor="text1"/>
          <w:spacing w:val="7"/>
          <w:sz w:val="30"/>
          <w:szCs w:val="30"/>
          <w14:textFill>
            <w14:solidFill>
              <w14:schemeClr w14:val="tx1"/>
            </w14:solidFill>
          </w14:textFill>
        </w:rPr>
        <w:t>案例库、虚拟仿真软件等专业教学资源库，</w:t>
      </w:r>
      <w:r>
        <w:rPr>
          <w:rFonts w:hint="eastAsia" w:ascii="仿宋_GB2312" w:hAnsi="仿宋_GB2312" w:eastAsia="仿宋_GB2312" w:cs="仿宋_GB2312"/>
          <w:color w:val="000000" w:themeColor="text1"/>
          <w:spacing w:val="6"/>
          <w:sz w:val="30"/>
          <w:szCs w:val="30"/>
          <w14:textFill>
            <w14:solidFill>
              <w14:schemeClr w14:val="tx1"/>
            </w14:solidFill>
          </w14:textFill>
        </w:rPr>
        <w:t>种类丰富、形式多样、使</w:t>
      </w:r>
      <w:r>
        <w:rPr>
          <w:rFonts w:hint="eastAsia" w:ascii="仿宋_GB2312" w:hAnsi="仿宋_GB2312" w:eastAsia="仿宋_GB2312" w:cs="仿宋_GB2312"/>
          <w:color w:val="000000" w:themeColor="text1"/>
          <w:spacing w:val="5"/>
          <w:sz w:val="30"/>
          <w:szCs w:val="30"/>
          <w14:textFill>
            <w14:solidFill>
              <w14:schemeClr w14:val="tx1"/>
            </w14:solidFill>
          </w14:textFill>
        </w:rPr>
        <w:t>用便捷、动态更新、满足教学。</w:t>
      </w:r>
    </w:p>
    <w:p w14:paraId="2D4ACA30">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27" w:name="bookmark22"/>
      <w:bookmarkEnd w:id="27"/>
      <w:bookmarkStart w:id="28" w:name="_Toc28881"/>
      <w:r>
        <w:rPr>
          <w:rFonts w:hint="eastAsia" w:ascii="楷体_GB2312" w:hAnsi="楷体_GB2312" w:eastAsia="楷体_GB2312" w:cs="楷体_GB2312"/>
          <w:snapToGrid w:val="0"/>
          <w:color w:val="000000"/>
          <w:kern w:val="0"/>
          <w:sz w:val="28"/>
          <w:szCs w:val="28"/>
          <w:lang w:val="en-US" w:eastAsia="zh-CN"/>
        </w:rPr>
        <w:t>（四）教学方法</w:t>
      </w:r>
      <w:bookmarkEnd w:id="28"/>
    </w:p>
    <w:p w14:paraId="63BFA38E">
      <w:pPr>
        <w:keepNext w:val="0"/>
        <w:keepLines w:val="0"/>
        <w:pageBreakBefore w:val="0"/>
        <w:wordWrap/>
        <w:overflowPunct/>
        <w:topLinePunct w:val="0"/>
        <w:bidi w:val="0"/>
        <w:spacing w:line="560" w:lineRule="exact"/>
        <w:ind w:left="0" w:right="77" w:firstLine="558"/>
        <w:jc w:val="both"/>
        <w:rPr>
          <w:rFonts w:hint="eastAsia" w:ascii="仿宋_GB2312" w:hAnsi="仿宋_GB2312" w:eastAsia="仿宋_GB2312" w:cs="仿宋_GB2312"/>
          <w:color w:val="000000" w:themeColor="text1"/>
          <w:spacing w:val="6"/>
          <w:sz w:val="30"/>
          <w:szCs w:val="30"/>
          <w:lang w:eastAsia="zh-CN"/>
          <w14:textFill>
            <w14:solidFill>
              <w14:schemeClr w14:val="tx1"/>
            </w14:solidFill>
          </w14:textFill>
        </w:rPr>
      </w:pPr>
      <w:bookmarkStart w:id="29" w:name="bookmark23"/>
      <w:bookmarkEnd w:id="29"/>
      <w:r>
        <w:rPr>
          <w:rFonts w:hint="eastAsia" w:ascii="仿宋_GB2312" w:hAnsi="仿宋_GB2312" w:eastAsia="仿宋_GB2312" w:cs="仿宋_GB2312"/>
          <w:color w:val="000000" w:themeColor="text1"/>
          <w:spacing w:val="6"/>
          <w:sz w:val="30"/>
          <w:szCs w:val="30"/>
          <w:lang w:val="en-US" w:eastAsia="zh-CN"/>
          <w14:textFill>
            <w14:solidFill>
              <w14:schemeClr w14:val="tx1"/>
            </w14:solidFill>
          </w14:textFill>
        </w:rPr>
        <w:t>公共基础课的教学要符合教育部有关教育教学的基本要求，</w:t>
      </w:r>
      <w:r>
        <w:rPr>
          <w:rFonts w:hint="eastAsia" w:ascii="仿宋_GB2312" w:hAnsi="仿宋_GB2312" w:eastAsia="仿宋_GB2312" w:cs="仿宋_GB2312"/>
          <w:color w:val="000000" w:themeColor="text1"/>
          <w:spacing w:val="6"/>
          <w:sz w:val="30"/>
          <w:szCs w:val="30"/>
          <w14:textFill>
            <w14:solidFill>
              <w14:schemeClr w14:val="tx1"/>
            </w14:solidFill>
          </w14:textFill>
        </w:rPr>
        <w:t>按照培养学生基本科学文化素养、服务学生专业学习和终身发展的需求来定位，重在教学方法、教学组织形式的改革，教学手段、教学模式的创新，调动学生学习的积极性，为学生综合素质的提高、职业能力的形成和可持续发展</w:t>
      </w:r>
      <w:r>
        <w:rPr>
          <w:rFonts w:hint="eastAsia" w:ascii="仿宋_GB2312" w:hAnsi="仿宋_GB2312" w:eastAsia="仿宋_GB2312" w:cs="仿宋_GB2312"/>
          <w:color w:val="000000" w:themeColor="text1"/>
          <w:spacing w:val="6"/>
          <w:sz w:val="30"/>
          <w:szCs w:val="30"/>
          <w:lang w:val="en-US" w:eastAsia="zh-CN"/>
          <w14:textFill>
            <w14:solidFill>
              <w14:schemeClr w14:val="tx1"/>
            </w14:solidFill>
          </w14:textFill>
        </w:rPr>
        <w:t>奠定</w:t>
      </w:r>
      <w:r>
        <w:rPr>
          <w:rFonts w:hint="eastAsia" w:ascii="仿宋_GB2312" w:hAnsi="仿宋_GB2312" w:eastAsia="仿宋_GB2312" w:cs="仿宋_GB2312"/>
          <w:color w:val="000000" w:themeColor="text1"/>
          <w:spacing w:val="6"/>
          <w:sz w:val="30"/>
          <w:szCs w:val="30"/>
          <w14:textFill>
            <w14:solidFill>
              <w14:schemeClr w14:val="tx1"/>
            </w14:solidFill>
          </w14:textFill>
        </w:rPr>
        <w:t>基础</w:t>
      </w:r>
      <w:r>
        <w:rPr>
          <w:rFonts w:hint="eastAsia" w:ascii="仿宋_GB2312" w:hAnsi="仿宋_GB2312" w:eastAsia="仿宋_GB2312" w:cs="仿宋_GB2312"/>
          <w:color w:val="000000" w:themeColor="text1"/>
          <w:spacing w:val="6"/>
          <w:sz w:val="30"/>
          <w:szCs w:val="30"/>
          <w:lang w:eastAsia="zh-CN"/>
          <w14:textFill>
            <w14:solidFill>
              <w14:schemeClr w14:val="tx1"/>
            </w14:solidFill>
          </w14:textFill>
        </w:rPr>
        <w:t>。</w:t>
      </w:r>
    </w:p>
    <w:p w14:paraId="66EB79DA">
      <w:pPr>
        <w:keepNext w:val="0"/>
        <w:keepLines w:val="0"/>
        <w:pageBreakBefore w:val="0"/>
        <w:wordWrap/>
        <w:overflowPunct/>
        <w:topLinePunct w:val="0"/>
        <w:bidi w:val="0"/>
        <w:spacing w:line="560" w:lineRule="exact"/>
        <w:ind w:left="0" w:right="77" w:firstLine="558"/>
        <w:jc w:val="both"/>
        <w:rPr>
          <w:rFonts w:hint="eastAsia" w:ascii="仿宋_GB2312" w:hAnsi="仿宋_GB2312" w:eastAsia="仿宋_GB2312" w:cs="仿宋_GB2312"/>
          <w:b/>
          <w:bCs/>
          <w:color w:val="000000" w:themeColor="text1"/>
          <w:spacing w:val="2"/>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专业技能课按照相应职业岗位（群)的能力要求组织，强化理论实践一体化，突出“做中学、做中教”的职业教育教学特色。贯彻学习内容与工作内容对接、教学过程与工作过程对接、学习坏境与工作坏境对接，提倡项目教学、案例教学、现场教学等方法。要保证学生有充分的动手训练时间，有意识地强化企业工作规范及安全生产知识，培养学生良好的团队合作精神、服务意识、质量意识和环境保护意识，帮助学生养成规范严谨的操作习惯。</w:t>
      </w:r>
    </w:p>
    <w:p w14:paraId="7658E4FC">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30" w:name="_Toc5750"/>
      <w:r>
        <w:rPr>
          <w:rFonts w:hint="eastAsia" w:ascii="楷体_GB2312" w:hAnsi="楷体_GB2312" w:eastAsia="楷体_GB2312" w:cs="楷体_GB2312"/>
          <w:snapToGrid w:val="0"/>
          <w:color w:val="000000"/>
          <w:kern w:val="0"/>
          <w:sz w:val="28"/>
          <w:szCs w:val="28"/>
          <w:lang w:val="en-US" w:eastAsia="zh-CN"/>
        </w:rPr>
        <w:t>（五）学习评价</w:t>
      </w:r>
      <w:bookmarkEnd w:id="30"/>
    </w:p>
    <w:p w14:paraId="1EFC6CB4">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1.注重过程性考核</w:t>
      </w:r>
    </w:p>
    <w:p w14:paraId="136B7467">
      <w:pPr>
        <w:keepNext w:val="0"/>
        <w:keepLines w:val="0"/>
        <w:pageBreakBefore w:val="0"/>
        <w:wordWrap/>
        <w:overflowPunct/>
        <w:topLinePunct w:val="0"/>
        <w:bidi w:val="0"/>
        <w:spacing w:line="560" w:lineRule="exact"/>
        <w:ind w:left="0" w:firstLine="567"/>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4"/>
          <w:sz w:val="30"/>
          <w:szCs w:val="30"/>
          <w14:textFill>
            <w14:solidFill>
              <w14:schemeClr w14:val="tx1"/>
            </w14:solidFill>
          </w14:textFill>
        </w:rPr>
        <w:t>课程教学要关注学生的学习过程，对学生的过程进行评价和记录，</w:t>
      </w:r>
      <w:r>
        <w:rPr>
          <w:rFonts w:hint="eastAsia" w:ascii="仿宋_GB2312" w:hAnsi="仿宋_GB2312" w:eastAsia="仿宋_GB2312" w:cs="仿宋_GB2312"/>
          <w:color w:val="000000" w:themeColor="text1"/>
          <w:spacing w:val="8"/>
          <w:sz w:val="30"/>
          <w:szCs w:val="30"/>
          <w14:textFill>
            <w14:solidFill>
              <w14:schemeClr w14:val="tx1"/>
            </w14:solidFill>
          </w14:textFill>
        </w:rPr>
        <w:t>形成过程性考核和评价成绩。</w:t>
      </w:r>
    </w:p>
    <w:p w14:paraId="782DB610">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2.注重职业素质评价</w:t>
      </w:r>
    </w:p>
    <w:p w14:paraId="1B5982AA">
      <w:pPr>
        <w:keepNext w:val="0"/>
        <w:keepLines w:val="0"/>
        <w:pageBreakBefore w:val="0"/>
        <w:wordWrap/>
        <w:overflowPunct/>
        <w:topLinePunct w:val="0"/>
        <w:bidi w:val="0"/>
        <w:spacing w:line="560" w:lineRule="exact"/>
        <w:ind w:left="0" w:right="211" w:firstLine="56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课程教学过程中，将职业素质的基本要求落实到学生的课堂行为和学习行为中，按职业要求对学生的学习行为、方法思路、过程表现</w:t>
      </w:r>
      <w:r>
        <w:rPr>
          <w:rFonts w:hint="eastAsia" w:ascii="仿宋_GB2312" w:hAnsi="仿宋_GB2312" w:eastAsia="仿宋_GB2312" w:cs="仿宋_GB2312"/>
          <w:color w:val="000000" w:themeColor="text1"/>
          <w:spacing w:val="7"/>
          <w:sz w:val="30"/>
          <w:szCs w:val="30"/>
          <w14:textFill>
            <w14:solidFill>
              <w14:schemeClr w14:val="tx1"/>
            </w14:solidFill>
          </w14:textFill>
        </w:rPr>
        <w:t>进行评价，引导学生认知、实践和巩固职业</w:t>
      </w:r>
      <w:r>
        <w:rPr>
          <w:rFonts w:hint="eastAsia" w:ascii="仿宋_GB2312" w:hAnsi="仿宋_GB2312" w:eastAsia="仿宋_GB2312" w:cs="仿宋_GB2312"/>
          <w:color w:val="000000" w:themeColor="text1"/>
          <w:spacing w:val="6"/>
          <w:sz w:val="30"/>
          <w:szCs w:val="30"/>
          <w14:textFill>
            <w14:solidFill>
              <w14:schemeClr w14:val="tx1"/>
            </w14:solidFill>
          </w14:textFill>
        </w:rPr>
        <w:t>职业意识和职业行为，形成良好的职业习惯，提高职业综合素质。</w:t>
      </w:r>
    </w:p>
    <w:p w14:paraId="247DDFFC">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3.注重能力评价</w:t>
      </w:r>
    </w:p>
    <w:p w14:paraId="36BBC9FA">
      <w:pPr>
        <w:keepNext w:val="0"/>
        <w:keepLines w:val="0"/>
        <w:pageBreakBefore w:val="0"/>
        <w:wordWrap/>
        <w:overflowPunct/>
        <w:topLinePunct w:val="0"/>
        <w:bidi w:val="0"/>
        <w:spacing w:line="560" w:lineRule="exact"/>
        <w:ind w:left="0" w:right="212" w:firstLine="554"/>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课程教学评价，特别是专业课程的评价，在基础知识评价的基础上，更注重能力的评价，在评价内容、方式的设计上，体现出专业能</w:t>
      </w:r>
      <w:r>
        <w:rPr>
          <w:rFonts w:hint="eastAsia" w:ascii="仿宋_GB2312" w:hAnsi="仿宋_GB2312" w:eastAsia="仿宋_GB2312" w:cs="仿宋_GB2312"/>
          <w:color w:val="000000" w:themeColor="text1"/>
          <w:spacing w:val="7"/>
          <w:sz w:val="30"/>
          <w:szCs w:val="30"/>
          <w14:textFill>
            <w14:solidFill>
              <w14:schemeClr w14:val="tx1"/>
            </w14:solidFill>
          </w14:textFill>
        </w:rPr>
        <w:t>力，在实施上注重专业能力。</w:t>
      </w:r>
    </w:p>
    <w:p w14:paraId="22C66728">
      <w:pPr>
        <w:widowControl/>
        <w:kinsoku w:val="0"/>
        <w:autoSpaceDE w:val="0"/>
        <w:autoSpaceDN w:val="0"/>
        <w:adjustRightInd w:val="0"/>
        <w:snapToGrid w:val="0"/>
        <w:spacing w:line="560" w:lineRule="exact"/>
        <w:ind w:firstLine="562" w:firstLineChars="200"/>
        <w:textAlignment w:val="baseline"/>
        <w:rPr>
          <w:rFonts w:hint="eastAsia" w:ascii="Times New Roman" w:hAnsi="Times New Roman" w:eastAsia="仿宋_GB2312" w:cs="Times New Roman"/>
          <w:b/>
          <w:bCs/>
          <w:snapToGrid w:val="0"/>
          <w:color w:val="000000"/>
          <w:kern w:val="0"/>
          <w:sz w:val="28"/>
          <w:szCs w:val="28"/>
          <w:lang w:val="en-US" w:eastAsia="zh-CN"/>
        </w:rPr>
      </w:pPr>
      <w:r>
        <w:rPr>
          <w:rFonts w:hint="eastAsia" w:ascii="Times New Roman" w:hAnsi="Times New Roman" w:eastAsia="仿宋_GB2312" w:cs="Times New Roman"/>
          <w:b/>
          <w:bCs/>
          <w:snapToGrid w:val="0"/>
          <w:color w:val="000000"/>
          <w:kern w:val="0"/>
          <w:sz w:val="28"/>
          <w:szCs w:val="28"/>
          <w:lang w:val="en-US" w:eastAsia="zh-CN"/>
        </w:rPr>
        <w:t>4.多主体评价</w:t>
      </w:r>
    </w:p>
    <w:p w14:paraId="3795F456">
      <w:pPr>
        <w:keepNext w:val="0"/>
        <w:keepLines w:val="0"/>
        <w:pageBreakBefore w:val="0"/>
        <w:wordWrap/>
        <w:overflowPunct/>
        <w:topLinePunct w:val="0"/>
        <w:bidi w:val="0"/>
        <w:spacing w:line="560" w:lineRule="exact"/>
        <w:ind w:left="0" w:right="212" w:firstLine="565"/>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通过设计多环节、多方面的评价项目，将评价主体从任课教师扩展到学生、学校相关部门或人员、行业企业人员等，实现评价主体的</w:t>
      </w:r>
      <w:r>
        <w:rPr>
          <w:rFonts w:hint="eastAsia" w:ascii="仿宋_GB2312" w:hAnsi="仿宋_GB2312" w:eastAsia="仿宋_GB2312" w:cs="仿宋_GB2312"/>
          <w:color w:val="000000" w:themeColor="text1"/>
          <w:spacing w:val="-7"/>
          <w:sz w:val="30"/>
          <w:szCs w:val="30"/>
          <w14:textFill>
            <w14:solidFill>
              <w14:schemeClr w14:val="tx1"/>
            </w14:solidFill>
          </w14:textFill>
        </w:rPr>
        <w:t>多元化。</w:t>
      </w:r>
    </w:p>
    <w:p w14:paraId="35B45331">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楷体_GB2312" w:hAnsi="楷体_GB2312" w:eastAsia="楷体_GB2312" w:cs="楷体_GB2312"/>
          <w:snapToGrid w:val="0"/>
          <w:color w:val="000000"/>
          <w:kern w:val="0"/>
          <w:sz w:val="28"/>
          <w:szCs w:val="28"/>
          <w:lang w:val="en-US" w:eastAsia="zh-CN"/>
        </w:rPr>
      </w:pPr>
      <w:bookmarkStart w:id="31" w:name="bookmark24"/>
      <w:bookmarkEnd w:id="31"/>
      <w:bookmarkStart w:id="32" w:name="_Toc31902"/>
      <w:r>
        <w:rPr>
          <w:rFonts w:hint="eastAsia" w:ascii="楷体_GB2312" w:hAnsi="楷体_GB2312" w:eastAsia="楷体_GB2312" w:cs="楷体_GB2312"/>
          <w:snapToGrid w:val="0"/>
          <w:color w:val="000000"/>
          <w:kern w:val="0"/>
          <w:sz w:val="28"/>
          <w:szCs w:val="28"/>
          <w:lang w:val="en-US" w:eastAsia="zh-CN"/>
        </w:rPr>
        <w:t>（六）质量管理</w:t>
      </w:r>
      <w:bookmarkEnd w:id="32"/>
    </w:p>
    <w:p w14:paraId="59F1FA94">
      <w:pPr>
        <w:keepNext w:val="0"/>
        <w:keepLines w:val="0"/>
        <w:pageBreakBefore w:val="0"/>
        <w:wordWrap/>
        <w:overflowPunct/>
        <w:topLinePunct w:val="0"/>
        <w:bidi w:val="0"/>
        <w:spacing w:line="560" w:lineRule="exact"/>
        <w:ind w:left="0" w:right="126" w:firstLine="574"/>
        <w:jc w:val="both"/>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5"/>
          <w:sz w:val="30"/>
          <w:szCs w:val="30"/>
          <w14:textFill>
            <w14:solidFill>
              <w14:schemeClr w14:val="tx1"/>
            </w14:solidFill>
          </w14:textFill>
        </w:rPr>
        <w:t>1.学校应建立专业人才培养质量保障机制，健全专业教学质量监</w:t>
      </w:r>
      <w:r>
        <w:rPr>
          <w:rFonts w:hint="eastAsia" w:ascii="仿宋_GB2312" w:hAnsi="仿宋_GB2312" w:eastAsia="仿宋_GB2312" w:cs="仿宋_GB2312"/>
          <w:color w:val="000000" w:themeColor="text1"/>
          <w:spacing w:val="6"/>
          <w:sz w:val="30"/>
          <w:szCs w:val="30"/>
          <w14:textFill>
            <w14:solidFill>
              <w14:schemeClr w14:val="tx1"/>
            </w14:solidFill>
          </w14:textFill>
        </w:rPr>
        <w:t>控管理制度，改进结果评价，强化过程评价，探索增值评价，吸纳行业组织、企业等参与评价，并及时公开相关信息，接受教育督导和社</w:t>
      </w:r>
      <w:r>
        <w:rPr>
          <w:rFonts w:hint="eastAsia" w:ascii="仿宋_GB2312" w:hAnsi="仿宋_GB2312" w:eastAsia="仿宋_GB2312" w:cs="仿宋_GB2312"/>
          <w:color w:val="000000" w:themeColor="text1"/>
          <w:spacing w:val="9"/>
          <w:sz w:val="30"/>
          <w:szCs w:val="30"/>
          <w14:textFill>
            <w14:solidFill>
              <w14:schemeClr w14:val="tx1"/>
            </w14:solidFill>
          </w14:textFill>
        </w:rPr>
        <w:t>会监督，健全综合评价。完善人才培养方案、课程标准、课堂评价、实习实训、毕业设计以及资源建设等质量保障建设，通过教学实施、</w:t>
      </w:r>
      <w:r>
        <w:rPr>
          <w:rFonts w:hint="eastAsia" w:ascii="仿宋_GB2312" w:hAnsi="仿宋_GB2312" w:eastAsia="仿宋_GB2312" w:cs="仿宋_GB2312"/>
          <w:color w:val="000000" w:themeColor="text1"/>
          <w:spacing w:val="7"/>
          <w:sz w:val="30"/>
          <w:szCs w:val="30"/>
          <w14:textFill>
            <w14:solidFill>
              <w14:schemeClr w14:val="tx1"/>
            </w14:solidFill>
          </w14:textFill>
        </w:rPr>
        <w:t>过程监控、质量评价和持续改进，达到人才培养规格要求。</w:t>
      </w:r>
    </w:p>
    <w:p w14:paraId="4D123E74">
      <w:pPr>
        <w:keepNext w:val="0"/>
        <w:keepLines w:val="0"/>
        <w:pageBreakBefore w:val="0"/>
        <w:wordWrap/>
        <w:overflowPunct/>
        <w:topLinePunct w:val="0"/>
        <w:bidi w:val="0"/>
        <w:spacing w:line="560" w:lineRule="exact"/>
        <w:ind w:left="0" w:right="12" w:firstLine="571"/>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2.学校应完善教学管理机制，加强日常教学组</w:t>
      </w:r>
      <w:r>
        <w:rPr>
          <w:rFonts w:hint="eastAsia" w:ascii="仿宋_GB2312" w:hAnsi="仿宋_GB2312" w:eastAsia="仿宋_GB2312" w:cs="仿宋_GB2312"/>
          <w:color w:val="000000" w:themeColor="text1"/>
          <w:spacing w:val="5"/>
          <w:sz w:val="30"/>
          <w:szCs w:val="30"/>
          <w14:textFill>
            <w14:solidFill>
              <w14:schemeClr w14:val="tx1"/>
            </w14:solidFill>
          </w14:textFill>
        </w:rPr>
        <w:t>织运行与管理，定</w:t>
      </w:r>
      <w:r>
        <w:rPr>
          <w:rFonts w:hint="eastAsia" w:ascii="仿宋_GB2312" w:hAnsi="仿宋_GB2312" w:eastAsia="仿宋_GB2312" w:cs="仿宋_GB2312"/>
          <w:color w:val="000000" w:themeColor="text1"/>
          <w:spacing w:val="6"/>
          <w:sz w:val="30"/>
          <w:szCs w:val="30"/>
          <w14:textFill>
            <w14:solidFill>
              <w14:schemeClr w14:val="tx1"/>
            </w14:solidFill>
          </w14:textFill>
        </w:rPr>
        <w:t>期开展课程建设、日常教学、人才培养质量的诊断与改进，建立健全巡课、听课、评教、评学等制度，建立与企业联动的实践教学环节督导制度，严明教学纪律，强化教学组织功能，定期开展公开课、示范</w:t>
      </w:r>
      <w:r>
        <w:rPr>
          <w:rFonts w:hint="eastAsia" w:ascii="仿宋_GB2312" w:hAnsi="仿宋_GB2312" w:eastAsia="仿宋_GB2312" w:cs="仿宋_GB2312"/>
          <w:color w:val="000000" w:themeColor="text1"/>
          <w:sz w:val="30"/>
          <w:szCs w:val="30"/>
          <w14:textFill>
            <w14:solidFill>
              <w14:schemeClr w14:val="tx1"/>
            </w14:solidFill>
          </w14:textFill>
        </w:rPr>
        <w:t>课等教研活动。</w:t>
      </w:r>
    </w:p>
    <w:p w14:paraId="25323656">
      <w:pPr>
        <w:keepNext w:val="0"/>
        <w:keepLines w:val="0"/>
        <w:pageBreakBefore w:val="0"/>
        <w:wordWrap/>
        <w:overflowPunct/>
        <w:topLinePunct w:val="0"/>
        <w:bidi w:val="0"/>
        <w:spacing w:line="560" w:lineRule="exact"/>
        <w:ind w:left="0" w:right="12" w:firstLine="577"/>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5"/>
          <w:sz w:val="30"/>
          <w:szCs w:val="30"/>
          <w14:textFill>
            <w14:solidFill>
              <w14:schemeClr w14:val="tx1"/>
            </w14:solidFill>
          </w14:textFill>
        </w:rPr>
        <w:t>3.专业教研组织应建立线上线下相结合的集中备课制度，定期召</w:t>
      </w:r>
      <w:r>
        <w:rPr>
          <w:rFonts w:hint="eastAsia" w:ascii="仿宋_GB2312" w:hAnsi="仿宋_GB2312" w:eastAsia="仿宋_GB2312" w:cs="仿宋_GB2312"/>
          <w:color w:val="000000" w:themeColor="text1"/>
          <w:spacing w:val="6"/>
          <w:sz w:val="30"/>
          <w:szCs w:val="30"/>
          <w14:textFill>
            <w14:solidFill>
              <w14:schemeClr w14:val="tx1"/>
            </w14:solidFill>
          </w14:textFill>
        </w:rPr>
        <w:t>开教学研讨会议，利用评价分析结果有效改进专业教学，持续提高人</w:t>
      </w:r>
      <w:r>
        <w:rPr>
          <w:rFonts w:hint="eastAsia" w:ascii="仿宋_GB2312" w:hAnsi="仿宋_GB2312" w:eastAsia="仿宋_GB2312" w:cs="仿宋_GB2312"/>
          <w:color w:val="000000" w:themeColor="text1"/>
          <w:sz w:val="30"/>
          <w:szCs w:val="30"/>
          <w14:textFill>
            <w14:solidFill>
              <w14:schemeClr w14:val="tx1"/>
            </w14:solidFill>
          </w14:textFill>
        </w:rPr>
        <w:t>才培养质量。</w:t>
      </w:r>
    </w:p>
    <w:p w14:paraId="0174C6CA">
      <w:pPr>
        <w:keepNext w:val="0"/>
        <w:keepLines w:val="0"/>
        <w:pageBreakBefore w:val="0"/>
        <w:wordWrap/>
        <w:overflowPunct/>
        <w:topLinePunct w:val="0"/>
        <w:bidi w:val="0"/>
        <w:spacing w:line="560" w:lineRule="exact"/>
        <w:ind w:left="0" w:right="12" w:firstLine="566"/>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6"/>
          <w:sz w:val="30"/>
          <w:szCs w:val="30"/>
          <w14:textFill>
            <w14:solidFill>
              <w14:schemeClr w14:val="tx1"/>
            </w14:solidFill>
          </w14:textFill>
        </w:rPr>
        <w:t>4.学校应建立毕业生跟踪反馈机制及社会评价机</w:t>
      </w:r>
      <w:r>
        <w:rPr>
          <w:rFonts w:hint="eastAsia" w:ascii="仿宋_GB2312" w:hAnsi="仿宋_GB2312" w:eastAsia="仿宋_GB2312" w:cs="仿宋_GB2312"/>
          <w:color w:val="000000" w:themeColor="text1"/>
          <w:spacing w:val="5"/>
          <w:sz w:val="30"/>
          <w:szCs w:val="30"/>
          <w14:textFill>
            <w14:solidFill>
              <w14:schemeClr w14:val="tx1"/>
            </w14:solidFill>
          </w14:textFill>
        </w:rPr>
        <w:t>制，并对生源情</w:t>
      </w:r>
      <w:r>
        <w:rPr>
          <w:rFonts w:hint="eastAsia" w:ascii="仿宋_GB2312" w:hAnsi="仿宋_GB2312" w:eastAsia="仿宋_GB2312" w:cs="仿宋_GB2312"/>
          <w:color w:val="000000" w:themeColor="text1"/>
          <w:spacing w:val="6"/>
          <w:sz w:val="30"/>
          <w:szCs w:val="30"/>
          <w14:textFill>
            <w14:solidFill>
              <w14:schemeClr w14:val="tx1"/>
            </w14:solidFill>
          </w14:textFill>
        </w:rPr>
        <w:t>况、职业道德、技术技能水平、就业质量等进行分析，定期评价人才</w:t>
      </w:r>
      <w:r>
        <w:rPr>
          <w:rFonts w:hint="eastAsia" w:ascii="仿宋_GB2312" w:hAnsi="仿宋_GB2312" w:eastAsia="仿宋_GB2312" w:cs="仿宋_GB2312"/>
          <w:color w:val="000000" w:themeColor="text1"/>
          <w:spacing w:val="5"/>
          <w:sz w:val="30"/>
          <w:szCs w:val="30"/>
          <w14:textFill>
            <w14:solidFill>
              <w14:schemeClr w14:val="tx1"/>
            </w14:solidFill>
          </w14:textFill>
        </w:rPr>
        <w:t>培养质量和培养目标达成情况。</w:t>
      </w:r>
    </w:p>
    <w:p w14:paraId="36DA6CBA">
      <w:pPr>
        <w:keepNext w:val="0"/>
        <w:keepLines w:val="0"/>
        <w:pageBreakBefore w:val="0"/>
        <w:widowControl/>
        <w:kinsoku w:val="0"/>
        <w:wordWrap/>
        <w:overflowPunct/>
        <w:topLinePunct w:val="0"/>
        <w:autoSpaceDE w:val="0"/>
        <w:autoSpaceDN w:val="0"/>
        <w:bidi w:val="0"/>
        <w:adjustRightInd w:val="0"/>
        <w:snapToGrid w:val="0"/>
        <w:spacing w:line="560" w:lineRule="exact"/>
        <w:ind w:firstLine="560" w:firstLineChars="200"/>
        <w:textAlignment w:val="baseline"/>
        <w:rPr>
          <w:rFonts w:hint="eastAsia" w:ascii="黑体" w:hAnsi="黑体" w:eastAsia="黑体" w:cs="黑体"/>
          <w:snapToGrid w:val="0"/>
          <w:color w:val="000000"/>
          <w:kern w:val="0"/>
          <w:sz w:val="28"/>
          <w:szCs w:val="28"/>
          <w:lang w:val="en-US" w:eastAsia="zh-CN"/>
        </w:rPr>
      </w:pPr>
      <w:bookmarkStart w:id="33" w:name="bookmark25"/>
      <w:bookmarkEnd w:id="33"/>
      <w:bookmarkStart w:id="34" w:name="_Toc77"/>
      <w:r>
        <w:rPr>
          <w:rFonts w:hint="eastAsia" w:ascii="黑体" w:hAnsi="黑体" w:eastAsia="黑体" w:cs="黑体"/>
          <w:snapToGrid w:val="0"/>
          <w:color w:val="000000"/>
          <w:kern w:val="0"/>
          <w:sz w:val="28"/>
          <w:szCs w:val="28"/>
          <w:lang w:val="en-US" w:eastAsia="zh-CN"/>
        </w:rPr>
        <w:t>九、毕业要求</w:t>
      </w:r>
      <w:bookmarkEnd w:id="34"/>
    </w:p>
    <w:p w14:paraId="16890418">
      <w:pPr>
        <w:keepNext w:val="0"/>
        <w:keepLines w:val="0"/>
        <w:pageBreakBefore w:val="0"/>
        <w:wordWrap/>
        <w:overflowPunct/>
        <w:topLinePunct w:val="0"/>
        <w:bidi w:val="0"/>
        <w:spacing w:line="560" w:lineRule="exact"/>
        <w:ind w:left="0" w:right="206" w:firstLine="518"/>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9"/>
          <w:sz w:val="30"/>
          <w:szCs w:val="30"/>
          <w14:textFill>
            <w14:solidFill>
              <w14:schemeClr w14:val="tx1"/>
            </w14:solidFill>
          </w14:textFill>
        </w:rPr>
        <w:t>根据专业人才培养方案确定的目标和培养规格，完成规定的实</w:t>
      </w:r>
      <w:r>
        <w:rPr>
          <w:rFonts w:hint="eastAsia" w:ascii="仿宋_GB2312" w:hAnsi="仿宋_GB2312" w:eastAsia="仿宋_GB2312" w:cs="仿宋_GB2312"/>
          <w:color w:val="000000" w:themeColor="text1"/>
          <w:spacing w:val="5"/>
          <w:sz w:val="30"/>
          <w:szCs w:val="30"/>
          <w14:textFill>
            <w14:solidFill>
              <w14:schemeClr w14:val="tx1"/>
            </w14:solidFill>
          </w14:textFill>
        </w:rPr>
        <w:t>习实训，全部课程考核合格或修满学分，准予毕业。</w:t>
      </w:r>
    </w:p>
    <w:p w14:paraId="3A3C417D">
      <w:pPr>
        <w:keepNext w:val="0"/>
        <w:keepLines w:val="0"/>
        <w:pageBreakBefore w:val="0"/>
        <w:wordWrap/>
        <w:overflowPunct/>
        <w:topLinePunct w:val="0"/>
        <w:bidi w:val="0"/>
        <w:spacing w:line="560" w:lineRule="exact"/>
        <w:ind w:left="0" w:right="205" w:firstLine="576"/>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7"/>
          <w:sz w:val="30"/>
          <w:szCs w:val="30"/>
          <w14:textFill>
            <w14:solidFill>
              <w14:schemeClr w14:val="tx1"/>
            </w14:solidFill>
          </w14:textFill>
        </w:rPr>
        <w:t>学校可结合办学实际，细化、明确学生课程</w:t>
      </w:r>
      <w:r>
        <w:rPr>
          <w:rFonts w:hint="eastAsia" w:ascii="仿宋_GB2312" w:hAnsi="仿宋_GB2312" w:eastAsia="仿宋_GB2312" w:cs="仿宋_GB2312"/>
          <w:color w:val="000000" w:themeColor="text1"/>
          <w:spacing w:val="6"/>
          <w:sz w:val="30"/>
          <w:szCs w:val="30"/>
          <w14:textFill>
            <w14:solidFill>
              <w14:schemeClr w14:val="tx1"/>
            </w14:solidFill>
          </w14:textFill>
        </w:rPr>
        <w:t>修习、学业成绩、</w:t>
      </w:r>
      <w:r>
        <w:rPr>
          <w:rFonts w:hint="eastAsia" w:ascii="仿宋_GB2312" w:hAnsi="仿宋_GB2312" w:eastAsia="仿宋_GB2312" w:cs="仿宋_GB2312"/>
          <w:color w:val="000000" w:themeColor="text1"/>
          <w:spacing w:val="9"/>
          <w:sz w:val="30"/>
          <w:szCs w:val="30"/>
          <w14:textFill>
            <w14:solidFill>
              <w14:schemeClr w14:val="tx1"/>
            </w14:solidFill>
          </w14:textFill>
        </w:rPr>
        <w:t>实践经历、职业素养、综合素质等方面的学习要求和考核要求等。要严把毕业出口关，确保学生毕业时完成规定的学时学分和各教学</w:t>
      </w:r>
      <w:r>
        <w:rPr>
          <w:rFonts w:hint="eastAsia" w:ascii="仿宋_GB2312" w:hAnsi="仿宋_GB2312" w:eastAsia="仿宋_GB2312" w:cs="仿宋_GB2312"/>
          <w:color w:val="000000" w:themeColor="text1"/>
          <w:spacing w:val="6"/>
          <w:sz w:val="30"/>
          <w:szCs w:val="30"/>
          <w14:textFill>
            <w14:solidFill>
              <w14:schemeClr w14:val="tx1"/>
            </w14:solidFill>
          </w14:textFill>
        </w:rPr>
        <w:t>环节，保证毕业要求的达成度。</w:t>
      </w:r>
    </w:p>
    <w:p w14:paraId="380B6186">
      <w:pPr>
        <w:keepNext w:val="0"/>
        <w:keepLines w:val="0"/>
        <w:pageBreakBefore w:val="0"/>
        <w:wordWrap/>
        <w:overflowPunct/>
        <w:topLinePunct w:val="0"/>
        <w:bidi w:val="0"/>
        <w:spacing w:line="560" w:lineRule="exact"/>
        <w:ind w:left="0" w:firstLine="636"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pacing w:val="9"/>
          <w:sz w:val="30"/>
          <w:szCs w:val="30"/>
          <w14:textFill>
            <w14:solidFill>
              <w14:schemeClr w14:val="tx1"/>
            </w14:solidFill>
          </w14:textFill>
        </w:rPr>
        <w:t>接受职业培训取得的职业技能等级证书、培训证书等学习成果，经职业学校认定，可以转化为相应的学历教育学分；达到相应</w:t>
      </w:r>
      <w:r>
        <w:rPr>
          <w:rFonts w:hint="eastAsia" w:ascii="仿宋_GB2312" w:hAnsi="仿宋_GB2312" w:eastAsia="仿宋_GB2312" w:cs="仿宋_GB2312"/>
          <w:color w:val="000000" w:themeColor="text1"/>
          <w:spacing w:val="7"/>
          <w:sz w:val="30"/>
          <w:szCs w:val="30"/>
          <w14:textFill>
            <w14:solidFill>
              <w14:schemeClr w14:val="tx1"/>
            </w14:solidFill>
          </w14:textFill>
        </w:rPr>
        <w:t>职业学校学业要求的，可以取得相应的学业证</w:t>
      </w:r>
      <w:r>
        <w:rPr>
          <w:rFonts w:hint="eastAsia" w:ascii="仿宋_GB2312" w:hAnsi="仿宋_GB2312" w:eastAsia="仿宋_GB2312" w:cs="仿宋_GB2312"/>
          <w:color w:val="000000" w:themeColor="text1"/>
          <w:spacing w:val="6"/>
          <w:sz w:val="30"/>
          <w:szCs w:val="30"/>
          <w14:textFill>
            <w14:solidFill>
              <w14:schemeClr w14:val="tx1"/>
            </w14:solidFill>
          </w14:textFill>
        </w:rPr>
        <w:t>书。</w:t>
      </w:r>
    </w:p>
    <w:p w14:paraId="46E92DA4">
      <w:pPr>
        <w:keepNext w:val="0"/>
        <w:keepLines w:val="0"/>
        <w:pageBreakBefore w:val="0"/>
        <w:numPr>
          <w:ilvl w:val="0"/>
          <w:numId w:val="0"/>
        </w:numPr>
        <w:wordWrap/>
        <w:overflowPunct/>
        <w:topLinePunct w:val="0"/>
        <w:bidi w:val="0"/>
        <w:spacing w:line="560" w:lineRule="exact"/>
        <w:ind w:left="0" w:leftChars="0"/>
        <w:jc w:val="left"/>
        <w:rPr>
          <w:rFonts w:hint="eastAsia" w:ascii="仿宋_GB2312" w:hAnsi="仿宋_GB2312" w:eastAsia="仿宋_GB2312" w:cs="仿宋_GB2312"/>
          <w:color w:val="000000" w:themeColor="text1"/>
          <w:sz w:val="30"/>
          <w:szCs w:val="30"/>
          <w:lang w:val="en-US" w:eastAsia="zh-CN"/>
          <w14:textFill>
            <w14:solidFill>
              <w14:schemeClr w14:val="tx1"/>
            </w14:solidFill>
          </w14:textFill>
        </w:rPr>
      </w:pPr>
    </w:p>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1057D4-9C90-483B-89D4-E0CA61B225C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D7252D15-FAA1-489B-8FBD-E62E4DDCD596}"/>
  </w:font>
  <w:font w:name="仿宋_GB2312">
    <w:altName w:val="仿宋"/>
    <w:panose1 w:val="02010609030101010101"/>
    <w:charset w:val="86"/>
    <w:family w:val="auto"/>
    <w:pitch w:val="default"/>
    <w:sig w:usb0="00000000" w:usb1="00000000" w:usb2="00000000" w:usb3="00000000" w:csb0="00040000" w:csb1="00000000"/>
    <w:embedRegular r:id="rId3" w:fontKey="{D78E8938-E157-427B-A8C8-231E6A6B9453}"/>
  </w:font>
  <w:font w:name="仿宋">
    <w:panose1 w:val="02010609060101010101"/>
    <w:charset w:val="86"/>
    <w:family w:val="auto"/>
    <w:pitch w:val="default"/>
    <w:sig w:usb0="800002BF" w:usb1="38CF7CFA" w:usb2="00000016" w:usb3="00000000" w:csb0="00040001" w:csb1="00000000"/>
    <w:embedRegular r:id="rId4" w:fontKey="{061CEA45-28C6-4466-B6DE-6B8E91D11DAB}"/>
  </w:font>
  <w:font w:name="方正小标宋简体">
    <w:panose1 w:val="03000509000000000000"/>
    <w:charset w:val="86"/>
    <w:family w:val="auto"/>
    <w:pitch w:val="default"/>
    <w:sig w:usb0="00000001" w:usb1="080E0000" w:usb2="00000000" w:usb3="00000000" w:csb0="00040000" w:csb1="00000000"/>
    <w:embedRegular r:id="rId5" w:fontKey="{57AE3441-5120-477B-ABEE-4962591A5640}"/>
  </w:font>
  <w:font w:name="Calibri Light">
    <w:panose1 w:val="020F0302020204030204"/>
    <w:charset w:val="00"/>
    <w:family w:val="auto"/>
    <w:pitch w:val="default"/>
    <w:sig w:usb0="E0002AFF" w:usb1="C000247B" w:usb2="00000009" w:usb3="00000000" w:csb0="200001FF" w:csb1="00000000"/>
  </w:font>
  <w:font w:name="FangSong_GB2312">
    <w:altName w:val="仿宋"/>
    <w:panose1 w:val="02010609030101010101"/>
    <w:charset w:val="86"/>
    <w:family w:val="auto"/>
    <w:pitch w:val="default"/>
    <w:sig w:usb0="00000000" w:usb1="00000000" w:usb2="00000000" w:usb3="00000000" w:csb0="00040000" w:csb1="00000000"/>
    <w:embedRegular r:id="rId6" w:fontKey="{6FB9D088-582C-46AA-8084-468F3A7DFFFB}"/>
  </w:font>
  <w:font w:name="楷体_GB2312">
    <w:altName w:val="楷体"/>
    <w:panose1 w:val="02010609030101010101"/>
    <w:charset w:val="86"/>
    <w:family w:val="auto"/>
    <w:pitch w:val="default"/>
    <w:sig w:usb0="00000000" w:usb1="00000000" w:usb2="00000000" w:usb3="00000000" w:csb0="00040000" w:csb1="00000000"/>
    <w:embedRegular r:id="rId7" w:fontKey="{AB061D32-6ECF-48E6-8499-0327DE68E3D6}"/>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66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F8AC">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6650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8D6650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0224E">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4BCB9">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A44BCB9">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C36BE">
    <w:pPr>
      <w:keepNext w:val="0"/>
      <w:keepLines w:val="0"/>
      <w:widowControl/>
      <w:suppressLineNumbers w:val="0"/>
      <w:pBdr>
        <w:bottom w:val="none" w:color="auto" w:sz="0" w:space="0"/>
      </w:pBdr>
      <w:ind w:firstLine="2640" w:firstLineChars="1100"/>
      <w:jc w:val="right"/>
    </w:pPr>
    <w:r>
      <w:rPr>
        <w:rFonts w:hint="eastAsia" w:ascii="Times New Roman" w:hAnsi="Times New Roman" w:eastAsia="仿宋_GB2312" w:cs="Times New Roman"/>
        <w:sz w:val="24"/>
        <w:szCs w:val="24"/>
        <w:lang w:eastAsia="zh-CN"/>
      </w:rPr>
      <w:drawing>
        <wp:anchor distT="0" distB="0" distL="114300" distR="114300" simplePos="0" relativeHeight="251660288" behindDoc="0" locked="0" layoutInCell="1" allowOverlap="1">
          <wp:simplePos x="0" y="0"/>
          <wp:positionH relativeFrom="column">
            <wp:posOffset>-111760</wp:posOffset>
          </wp:positionH>
          <wp:positionV relativeFrom="paragraph">
            <wp:posOffset>-121920</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ascii="仿宋_GB2312" w:hAnsi="仿宋_GB2312" w:eastAsia="仿宋_GB2312" w:cs="仿宋_GB2312"/>
        <w:color w:val="000000"/>
        <w:kern w:val="0"/>
        <w:sz w:val="24"/>
        <w:szCs w:val="24"/>
        <w:lang w:val="en-US" w:eastAsia="zh-CN" w:bidi="ar"/>
      </w:rPr>
      <w:t>《</w:t>
    </w:r>
    <w:r>
      <w:rPr>
        <w:rFonts w:hint="eastAsia" w:ascii="仿宋_GB2312" w:hAnsi="仿宋_GB2312" w:eastAsia="仿宋_GB2312" w:cs="仿宋_GB2312"/>
        <w:color w:val="000000"/>
        <w:kern w:val="0"/>
        <w:sz w:val="24"/>
        <w:szCs w:val="24"/>
        <w:lang w:val="en-US" w:eastAsia="zh-CN" w:bidi="ar"/>
      </w:rPr>
      <w:t>中西面点</w:t>
    </w:r>
    <w:r>
      <w:rPr>
        <w:rFonts w:ascii="仿宋_GB2312" w:hAnsi="仿宋_GB2312" w:eastAsia="仿宋_GB2312" w:cs="仿宋_GB2312"/>
        <w:color w:val="000000"/>
        <w:kern w:val="0"/>
        <w:sz w:val="24"/>
        <w:szCs w:val="24"/>
        <w:lang w:val="en-US" w:eastAsia="zh-CN" w:bidi="ar"/>
      </w:rPr>
      <w:t>》专业人才培养方案</w:t>
    </w:r>
  </w:p>
  <w:p w14:paraId="187BBF84">
    <w:pPr>
      <w:pStyle w:val="7"/>
      <w:pBdr>
        <w:bottom w:val="single" w:color="auto" w:sz="4" w:space="1"/>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6C6D7F"/>
    <w:rsid w:val="02E35293"/>
    <w:rsid w:val="03140F5D"/>
    <w:rsid w:val="034104E4"/>
    <w:rsid w:val="03F01B56"/>
    <w:rsid w:val="06C4362D"/>
    <w:rsid w:val="07577FFE"/>
    <w:rsid w:val="087C2D8F"/>
    <w:rsid w:val="08F27297"/>
    <w:rsid w:val="096B7D90"/>
    <w:rsid w:val="0AAB2F8F"/>
    <w:rsid w:val="0C322DE7"/>
    <w:rsid w:val="0C60355A"/>
    <w:rsid w:val="0FA01AC3"/>
    <w:rsid w:val="10F14A8A"/>
    <w:rsid w:val="1166486A"/>
    <w:rsid w:val="11912948"/>
    <w:rsid w:val="12E16CE4"/>
    <w:rsid w:val="133032AB"/>
    <w:rsid w:val="13962E04"/>
    <w:rsid w:val="157F5F94"/>
    <w:rsid w:val="15C22FA8"/>
    <w:rsid w:val="15C5F71A"/>
    <w:rsid w:val="16F41D35"/>
    <w:rsid w:val="18ED4334"/>
    <w:rsid w:val="1B5851BD"/>
    <w:rsid w:val="1C1442B7"/>
    <w:rsid w:val="233A39AD"/>
    <w:rsid w:val="233F1C1A"/>
    <w:rsid w:val="25B01F9A"/>
    <w:rsid w:val="27640C62"/>
    <w:rsid w:val="27F15787"/>
    <w:rsid w:val="283C7290"/>
    <w:rsid w:val="28F45255"/>
    <w:rsid w:val="2B3F5B39"/>
    <w:rsid w:val="2DB06383"/>
    <w:rsid w:val="2DFF1280"/>
    <w:rsid w:val="2E9B1989"/>
    <w:rsid w:val="2EB72011"/>
    <w:rsid w:val="2FEBB992"/>
    <w:rsid w:val="309013EB"/>
    <w:rsid w:val="31FD8888"/>
    <w:rsid w:val="32F64B55"/>
    <w:rsid w:val="336F54BF"/>
    <w:rsid w:val="347E456C"/>
    <w:rsid w:val="349B0F5D"/>
    <w:rsid w:val="35BD3405"/>
    <w:rsid w:val="35F7D446"/>
    <w:rsid w:val="369FD937"/>
    <w:rsid w:val="36BF4E52"/>
    <w:rsid w:val="36F143CA"/>
    <w:rsid w:val="36F44ACE"/>
    <w:rsid w:val="37E713C1"/>
    <w:rsid w:val="387DDF41"/>
    <w:rsid w:val="388A2694"/>
    <w:rsid w:val="3B7D242B"/>
    <w:rsid w:val="3BF39A32"/>
    <w:rsid w:val="3C1543CA"/>
    <w:rsid w:val="3DDB658B"/>
    <w:rsid w:val="3DFF890F"/>
    <w:rsid w:val="3FEF5955"/>
    <w:rsid w:val="40D51608"/>
    <w:rsid w:val="415B3C6B"/>
    <w:rsid w:val="42AE05A8"/>
    <w:rsid w:val="42D61313"/>
    <w:rsid w:val="453B20CB"/>
    <w:rsid w:val="456D6845"/>
    <w:rsid w:val="46DC75FC"/>
    <w:rsid w:val="47847E36"/>
    <w:rsid w:val="481D67C8"/>
    <w:rsid w:val="48B94E63"/>
    <w:rsid w:val="48DB1EBA"/>
    <w:rsid w:val="4A4656CE"/>
    <w:rsid w:val="4D710BC6"/>
    <w:rsid w:val="4DDF4396"/>
    <w:rsid w:val="4EDB613F"/>
    <w:rsid w:val="4F9C589F"/>
    <w:rsid w:val="50180925"/>
    <w:rsid w:val="50E81293"/>
    <w:rsid w:val="53204D14"/>
    <w:rsid w:val="56FA0BF7"/>
    <w:rsid w:val="5702070C"/>
    <w:rsid w:val="5927766A"/>
    <w:rsid w:val="599E67E5"/>
    <w:rsid w:val="59AC3D2B"/>
    <w:rsid w:val="5A7ED017"/>
    <w:rsid w:val="5B75FB12"/>
    <w:rsid w:val="5B9FB806"/>
    <w:rsid w:val="5BE74621"/>
    <w:rsid w:val="5BFA340D"/>
    <w:rsid w:val="5C2340B8"/>
    <w:rsid w:val="5DB073BD"/>
    <w:rsid w:val="5E4F4B48"/>
    <w:rsid w:val="5E674312"/>
    <w:rsid w:val="5E6D4BE2"/>
    <w:rsid w:val="5ECF93A6"/>
    <w:rsid w:val="5EFB9A3C"/>
    <w:rsid w:val="5FBDF7D8"/>
    <w:rsid w:val="5FCC26FB"/>
    <w:rsid w:val="5FEDE5E8"/>
    <w:rsid w:val="61671270"/>
    <w:rsid w:val="62F37D50"/>
    <w:rsid w:val="635F3B77"/>
    <w:rsid w:val="638266CE"/>
    <w:rsid w:val="65591DAB"/>
    <w:rsid w:val="65CB4FB4"/>
    <w:rsid w:val="65DE8BE7"/>
    <w:rsid w:val="66774BB5"/>
    <w:rsid w:val="67536C00"/>
    <w:rsid w:val="67755047"/>
    <w:rsid w:val="68BFCDFA"/>
    <w:rsid w:val="6A6B7926"/>
    <w:rsid w:val="6BD9385B"/>
    <w:rsid w:val="6D9B5E15"/>
    <w:rsid w:val="6E16C43C"/>
    <w:rsid w:val="6E994F2D"/>
    <w:rsid w:val="6F7F72DF"/>
    <w:rsid w:val="6FDE3BAE"/>
    <w:rsid w:val="6FEF3E38"/>
    <w:rsid w:val="6FF7CCB6"/>
    <w:rsid w:val="6FFF59E5"/>
    <w:rsid w:val="6FFFEDCF"/>
    <w:rsid w:val="704859CA"/>
    <w:rsid w:val="72AC0610"/>
    <w:rsid w:val="72EFBC44"/>
    <w:rsid w:val="72FFD529"/>
    <w:rsid w:val="73155AC0"/>
    <w:rsid w:val="73546F16"/>
    <w:rsid w:val="759CABF8"/>
    <w:rsid w:val="75BD6B8B"/>
    <w:rsid w:val="75D7C243"/>
    <w:rsid w:val="75DA6B4D"/>
    <w:rsid w:val="772B3810"/>
    <w:rsid w:val="77F7F237"/>
    <w:rsid w:val="77FAC49F"/>
    <w:rsid w:val="78465B4B"/>
    <w:rsid w:val="790A2645"/>
    <w:rsid w:val="799040F2"/>
    <w:rsid w:val="79BEFF5C"/>
    <w:rsid w:val="79FC75A8"/>
    <w:rsid w:val="7C6AED97"/>
    <w:rsid w:val="7DB26AE9"/>
    <w:rsid w:val="7DD60417"/>
    <w:rsid w:val="7DF52776"/>
    <w:rsid w:val="7E171F3C"/>
    <w:rsid w:val="7E1A3FDF"/>
    <w:rsid w:val="7EE7B01A"/>
    <w:rsid w:val="7F273497"/>
    <w:rsid w:val="7F7AC67C"/>
    <w:rsid w:val="7F7F1973"/>
    <w:rsid w:val="7FAF4570"/>
    <w:rsid w:val="7FBE5227"/>
    <w:rsid w:val="7FD67816"/>
    <w:rsid w:val="7FD7534B"/>
    <w:rsid w:val="7FDF631F"/>
    <w:rsid w:val="7FEBA907"/>
    <w:rsid w:val="7FF7B227"/>
    <w:rsid w:val="7FF9DAE5"/>
    <w:rsid w:val="95BF1025"/>
    <w:rsid w:val="96FFCF12"/>
    <w:rsid w:val="9DFF0696"/>
    <w:rsid w:val="AA67A8EE"/>
    <w:rsid w:val="ACFD6AB4"/>
    <w:rsid w:val="ADA7E636"/>
    <w:rsid w:val="AEFA4623"/>
    <w:rsid w:val="AFFB6CF5"/>
    <w:rsid w:val="B7BF4597"/>
    <w:rsid w:val="BD53B17D"/>
    <w:rsid w:val="BE2FDCF9"/>
    <w:rsid w:val="BEEE0D17"/>
    <w:rsid w:val="BEF77604"/>
    <w:rsid w:val="BF53804A"/>
    <w:rsid w:val="BF53F05D"/>
    <w:rsid w:val="BF62C967"/>
    <w:rsid w:val="BFAFCA4D"/>
    <w:rsid w:val="BFC3A479"/>
    <w:rsid w:val="BFF7030C"/>
    <w:rsid w:val="C9FEE254"/>
    <w:rsid w:val="CDF33377"/>
    <w:rsid w:val="D7FFECDC"/>
    <w:rsid w:val="DDB765E6"/>
    <w:rsid w:val="DDFBEA0E"/>
    <w:rsid w:val="DEBF0425"/>
    <w:rsid w:val="DEBF19FE"/>
    <w:rsid w:val="DEFB5788"/>
    <w:rsid w:val="DF879266"/>
    <w:rsid w:val="DFDB4109"/>
    <w:rsid w:val="DFDD1ECA"/>
    <w:rsid w:val="E3BBF0AC"/>
    <w:rsid w:val="E7B9468A"/>
    <w:rsid w:val="E7BA9BB8"/>
    <w:rsid w:val="E7F74A65"/>
    <w:rsid w:val="E8DC62EF"/>
    <w:rsid w:val="EC775630"/>
    <w:rsid w:val="EFDF1097"/>
    <w:rsid w:val="EFF74F18"/>
    <w:rsid w:val="F1FF07B1"/>
    <w:rsid w:val="F4BB0C13"/>
    <w:rsid w:val="F55F3989"/>
    <w:rsid w:val="F57FFF8E"/>
    <w:rsid w:val="F79E0E8C"/>
    <w:rsid w:val="F7E958F4"/>
    <w:rsid w:val="F7FFEBD0"/>
    <w:rsid w:val="F8F7F865"/>
    <w:rsid w:val="F9F92163"/>
    <w:rsid w:val="FAF4B66E"/>
    <w:rsid w:val="FBB99230"/>
    <w:rsid w:val="FBC8ABEF"/>
    <w:rsid w:val="FCB74D83"/>
    <w:rsid w:val="FCE4A344"/>
    <w:rsid w:val="FD7C01E2"/>
    <w:rsid w:val="FDF5159E"/>
    <w:rsid w:val="FDFA749C"/>
    <w:rsid w:val="FE5E7B8F"/>
    <w:rsid w:val="FEFF042A"/>
    <w:rsid w:val="FEFFBFE1"/>
    <w:rsid w:val="FF1AC30D"/>
    <w:rsid w:val="FF7FD50D"/>
    <w:rsid w:val="FFB9E164"/>
    <w:rsid w:val="FFBF45B5"/>
    <w:rsid w:val="FFEFA233"/>
    <w:rsid w:val="FFFAA2D0"/>
    <w:rsid w:val="FFFD9A51"/>
    <w:rsid w:val="FFFEA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widowControl/>
      <w:spacing w:line="560" w:lineRule="exact"/>
      <w:ind w:firstLine="0" w:firstLineChars="0"/>
      <w:jc w:val="center"/>
      <w:outlineLvl w:val="0"/>
    </w:pPr>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character" w:default="1" w:styleId="11">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character" w:customStyle="1" w:styleId="12">
    <w:name w:val="标题 1 字符"/>
    <w:basedOn w:val="11"/>
    <w:link w:val="2"/>
    <w:qFormat/>
    <w:uiPriority w:val="9"/>
    <w:rPr>
      <w:rFonts w:ascii="Times New Roman" w:hAnsi="Times New Roman" w:eastAsia="方正小标宋简体" w:cs="Times New Roman"/>
      <w:color w:val="000000" w:themeColor="text1"/>
      <w:kern w:val="0"/>
      <w:sz w:val="44"/>
      <w:szCs w:val="44"/>
      <w:lang w:val="en-GB" w:eastAsia="en-US"/>
      <w14:textFill>
        <w14:solidFill>
          <w14:schemeClr w14:val="tx1"/>
        </w14:solidFill>
      </w14:textFill>
    </w:rPr>
  </w:style>
  <w:style w:type="paragraph" w:customStyle="1" w:styleId="13">
    <w:name w:val="Table Text"/>
    <w:basedOn w:val="1"/>
    <w:semiHidden/>
    <w:qFormat/>
    <w:uiPriority w:val="0"/>
    <w:rPr>
      <w:rFonts w:ascii="FangSong_GB2312" w:hAnsi="FangSong_GB2312" w:eastAsia="FangSong_GB2312" w:cs="FangSong_GB2312"/>
      <w:sz w:val="24"/>
      <w:szCs w:val="24"/>
      <w:lang w:val="en-US" w:eastAsia="en-US" w:bidi="ar-SA"/>
    </w:rPr>
  </w:style>
  <w:style w:type="table" w:customStyle="1" w:styleId="14">
    <w:name w:val="Table Normal"/>
    <w:semiHidden/>
    <w:unhideWhenUsed/>
    <w:qFormat/>
    <w:uiPriority w:val="0"/>
    <w:tblPr>
      <w:tblCellMar>
        <w:top w:w="0" w:type="dxa"/>
        <w:left w:w="0" w:type="dxa"/>
        <w:bottom w:w="0" w:type="dxa"/>
        <w:right w:w="0" w:type="dxa"/>
      </w:tblCellMar>
    </w:tblPr>
  </w:style>
  <w:style w:type="character" w:customStyle="1" w:styleId="15">
    <w:name w:val="font11"/>
    <w:basedOn w:val="11"/>
    <w:qFormat/>
    <w:uiPriority w:val="0"/>
    <w:rPr>
      <w:rFonts w:hint="eastAsia" w:ascii="仿宋_GB2312" w:eastAsia="仿宋_GB2312" w:cs="仿宋_GB2312"/>
      <w:b/>
      <w:bCs/>
      <w:color w:val="000000"/>
      <w:sz w:val="20"/>
      <w:szCs w:val="20"/>
      <w:u w:val="none"/>
    </w:rPr>
  </w:style>
  <w:style w:type="character" w:customStyle="1" w:styleId="16">
    <w:name w:val="font31"/>
    <w:basedOn w:val="11"/>
    <w:qFormat/>
    <w:uiPriority w:val="0"/>
    <w:rPr>
      <w:rFonts w:hint="default" w:ascii="Times New Roman" w:hAnsi="Times New Roman" w:cs="Times New Roman"/>
      <w:color w:val="000000"/>
      <w:sz w:val="20"/>
      <w:szCs w:val="20"/>
      <w:u w:val="none"/>
    </w:rPr>
  </w:style>
  <w:style w:type="character" w:customStyle="1" w:styleId="17">
    <w:name w:val="font41"/>
    <w:basedOn w:val="11"/>
    <w:qFormat/>
    <w:uiPriority w:val="0"/>
    <w:rPr>
      <w:rFonts w:hint="eastAsia" w:ascii="仿宋_GB2312" w:eastAsia="仿宋_GB2312" w:cs="仿宋_GB2312"/>
      <w:color w:val="000000"/>
      <w:sz w:val="20"/>
      <w:szCs w:val="20"/>
      <w:u w:val="none"/>
    </w:rPr>
  </w:style>
  <w:style w:type="character" w:customStyle="1" w:styleId="18">
    <w:name w:val="font21"/>
    <w:basedOn w:val="11"/>
    <w:qFormat/>
    <w:uiPriority w:val="0"/>
    <w:rPr>
      <w:rFonts w:hint="eastAsia" w:ascii="宋体" w:hAnsi="宋体" w:eastAsia="宋体" w:cs="宋体"/>
      <w:b/>
      <w:bCs/>
      <w:color w:val="000000"/>
      <w:sz w:val="20"/>
      <w:szCs w:val="20"/>
      <w:u w:val="none"/>
    </w:rPr>
  </w:style>
  <w:style w:type="character" w:customStyle="1" w:styleId="19">
    <w:name w:val="font61"/>
    <w:basedOn w:val="11"/>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2578</Words>
  <Characters>2623</Characters>
  <Lines>0</Lines>
  <Paragraphs>0</Paragraphs>
  <TotalTime>51</TotalTime>
  <ScaleCrop>false</ScaleCrop>
  <LinksUpToDate>false</LinksUpToDate>
  <CharactersWithSpaces>2690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2026-03-20T01:58:00Z</dcterms:created>
  <dc:creator>半夏半暖</dc:creator>
  <cp:lastModifiedBy>噜噜小</cp:lastModifiedBy>
  <dcterms:modified xsi:type="dcterms:W3CDTF">2026-09-12T01:01:02Z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9CAF527327B84EDC90A001D75C0DF3DE_13</vt:lpwstr>
  </property>
  <property fmtid="{D5CDD505-2E9C-101B-9397-08002B2CF9AE}" pid="4" name="KSOTemplateDocerSaveRecord">
    <vt:lpwstr>eyJoZGlkIjoiNDgyZWNjMzdiODNjZTBjN2E5ZGIwZjNkYzhkZThhNzAiLCJ1c2VySWQiOiI0MzI4MjQwNzgifQ==</vt:lpwstr>
  </property>
</Properties>
</file>